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DA18F8" w14:textId="77777777" w:rsidR="00E05E57" w:rsidRDefault="00E05E57" w:rsidP="00E05E57">
      <w:pPr>
        <w:pStyle w:val="Header"/>
        <w:keepLines/>
        <w:tabs>
          <w:tab w:val="left" w:pos="5956"/>
          <w:tab w:val="right" w:pos="10440"/>
          <w:tab w:val="right" w:pos="13323"/>
        </w:tabs>
        <w:spacing w:before="60" w:after="60"/>
        <w:rPr>
          <w:rFonts w:ascii="Arial" w:eastAsia="SimSun" w:hAnsi="Arial" w:cs="Arial"/>
          <w:b/>
          <w:sz w:val="24"/>
          <w:szCs w:val="24"/>
          <w:lang w:eastAsia="zh-CN"/>
        </w:rPr>
      </w:pPr>
      <w:bookmarkStart w:id="0" w:name="Title"/>
      <w:bookmarkStart w:id="1" w:name="DocumentFor"/>
      <w:bookmarkStart w:id="2" w:name="OLE_LINK5"/>
      <w:bookmarkStart w:id="3" w:name="OLE_LINK6"/>
      <w:bookmarkEnd w:id="0"/>
      <w:bookmarkEnd w:id="1"/>
      <w:r>
        <w:rPr>
          <w:rFonts w:ascii="Arial" w:hAnsi="Arial" w:cs="Arial"/>
          <w:b/>
          <w:sz w:val="24"/>
          <w:szCs w:val="24"/>
        </w:rPr>
        <w:t>3GPP TSG-RAN WG4 Meeting #109</w:t>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Pr="00785366">
        <w:rPr>
          <w:rFonts w:ascii="Arial" w:hAnsi="Arial" w:cs="Arial"/>
          <w:b/>
          <w:sz w:val="24"/>
          <w:szCs w:val="24"/>
        </w:rPr>
        <w:t>R4-2319278</w:t>
      </w:r>
    </w:p>
    <w:bookmarkEnd w:id="2"/>
    <w:bookmarkEnd w:id="3"/>
    <w:p w14:paraId="20FCC5FA" w14:textId="77777777" w:rsidR="00E05E57" w:rsidRDefault="00E05E57" w:rsidP="00E05E57">
      <w:pPr>
        <w:pStyle w:val="CRCoverPage"/>
        <w:outlineLvl w:val="0"/>
        <w:rPr>
          <w:b/>
          <w:noProof/>
          <w:sz w:val="24"/>
        </w:rPr>
      </w:pPr>
      <w:r>
        <w:rPr>
          <w:rFonts w:eastAsia="SimSun"/>
          <w:b/>
          <w:sz w:val="24"/>
        </w:rPr>
        <w:t>Chicago</w:t>
      </w:r>
      <w:r w:rsidRPr="008C39F7">
        <w:rPr>
          <w:rFonts w:eastAsia="SimSun"/>
          <w:b/>
          <w:sz w:val="24"/>
        </w:rPr>
        <w:t xml:space="preserve">, </w:t>
      </w:r>
      <w:r>
        <w:rPr>
          <w:rFonts w:eastAsia="SimSun"/>
          <w:b/>
          <w:sz w:val="24"/>
        </w:rPr>
        <w:t>US, November</w:t>
      </w:r>
      <w:r w:rsidRPr="008C39F7">
        <w:rPr>
          <w:rFonts w:eastAsia="SimSun"/>
          <w:b/>
          <w:sz w:val="24"/>
        </w:rPr>
        <w:t xml:space="preserve"> </w:t>
      </w:r>
      <w:r>
        <w:rPr>
          <w:rFonts w:eastAsia="SimSun"/>
          <w:b/>
          <w:sz w:val="24"/>
        </w:rPr>
        <w:t>13</w:t>
      </w:r>
      <w:r w:rsidRPr="008C39F7">
        <w:rPr>
          <w:rFonts w:eastAsia="SimSun"/>
          <w:b/>
          <w:sz w:val="24"/>
        </w:rPr>
        <w:t xml:space="preserve"> – </w:t>
      </w:r>
      <w:r>
        <w:rPr>
          <w:rFonts w:eastAsia="SimSun"/>
          <w:b/>
          <w:sz w:val="24"/>
        </w:rPr>
        <w:t>17</w:t>
      </w:r>
      <w:r w:rsidRPr="008C39F7">
        <w:rPr>
          <w:rFonts w:eastAsia="SimSun"/>
          <w:b/>
          <w:sz w:val="24"/>
        </w:rPr>
        <w:t>, 2023</w:t>
      </w:r>
    </w:p>
    <w:p w14:paraId="1C43C02B" w14:textId="77777777" w:rsidR="00E05E57" w:rsidRPr="00BE3CA8" w:rsidRDefault="00E05E57" w:rsidP="00E05E57">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E2FFBDF" w14:textId="77777777" w:rsidR="00E05E57" w:rsidRPr="00BE3CA8" w:rsidRDefault="00E05E57" w:rsidP="00E05E57">
      <w:pPr>
        <w:tabs>
          <w:tab w:val="left" w:pos="1985"/>
        </w:tabs>
        <w:ind w:left="1985" w:hanging="1985"/>
        <w:rPr>
          <w:rFonts w:ascii="Arial" w:eastAsia="Calibri" w:hAnsi="Arial" w:cs="Arial"/>
          <w:b/>
          <w:bCs/>
          <w:sz w:val="24"/>
        </w:rPr>
      </w:pPr>
      <w:r w:rsidRPr="00BE3CA8">
        <w:rPr>
          <w:rFonts w:ascii="Arial" w:eastAsia="Calibri" w:hAnsi="Arial" w:cs="Arial"/>
          <w:b/>
          <w:bCs/>
          <w:sz w:val="24"/>
        </w:rPr>
        <w:t>Source:</w:t>
      </w:r>
      <w:r w:rsidRPr="00BE3CA8">
        <w:rPr>
          <w:rFonts w:ascii="Arial" w:eastAsia="Calibri" w:hAnsi="Arial" w:cs="Arial"/>
          <w:b/>
          <w:bCs/>
          <w:sz w:val="24"/>
        </w:rPr>
        <w:tab/>
        <w:t>Nokia, Nokia Shanghai Bell</w:t>
      </w:r>
    </w:p>
    <w:p w14:paraId="41DE9A70" w14:textId="77777777" w:rsidR="00E05E57" w:rsidRPr="00BE3CA8" w:rsidRDefault="00E05E57" w:rsidP="00E05E57">
      <w:pPr>
        <w:ind w:left="1985" w:hanging="1985"/>
        <w:rPr>
          <w:rFonts w:ascii="Arial" w:eastAsia="Calibri" w:hAnsi="Arial" w:cs="Arial"/>
          <w:b/>
          <w:bCs/>
          <w:sz w:val="24"/>
        </w:rPr>
      </w:pPr>
      <w:r w:rsidRPr="00BE3CA8">
        <w:rPr>
          <w:rFonts w:ascii="Arial" w:eastAsia="Calibri" w:hAnsi="Arial" w:cs="Arial"/>
          <w:b/>
          <w:bCs/>
          <w:sz w:val="24"/>
        </w:rPr>
        <w:t>Title:</w:t>
      </w:r>
      <w:r w:rsidRPr="00BE3CA8">
        <w:rPr>
          <w:rFonts w:ascii="Arial" w:eastAsia="Calibri" w:hAnsi="Arial" w:cs="Arial"/>
          <w:b/>
          <w:bCs/>
          <w:sz w:val="24"/>
        </w:rPr>
        <w:tab/>
      </w:r>
      <w:r w:rsidRPr="00CE1500">
        <w:rPr>
          <w:rFonts w:ascii="Arial" w:eastAsia="Calibri" w:hAnsi="Arial" w:cs="Arial"/>
          <w:b/>
          <w:bCs/>
          <w:sz w:val="24"/>
        </w:rPr>
        <w:t>On multi-Rx TCI state switching requirements</w:t>
      </w:r>
    </w:p>
    <w:p w14:paraId="13D7A16B" w14:textId="77777777" w:rsidR="00E05E57" w:rsidRPr="00BE3CA8" w:rsidRDefault="00E05E57" w:rsidP="00E05E57">
      <w:pPr>
        <w:tabs>
          <w:tab w:val="left" w:pos="1985"/>
        </w:tabs>
        <w:spacing w:after="120" w:line="240" w:lineRule="auto"/>
        <w:rPr>
          <w:rFonts w:ascii="Arial" w:eastAsia="MS Mincho" w:hAnsi="Arial" w:cs="Arial"/>
          <w:b/>
          <w:bCs/>
          <w:sz w:val="24"/>
          <w:szCs w:val="20"/>
        </w:rPr>
      </w:pPr>
      <w:r w:rsidRPr="00BE3CA8">
        <w:rPr>
          <w:rFonts w:ascii="Arial" w:eastAsia="MS Mincho" w:hAnsi="Arial" w:cs="Arial"/>
          <w:b/>
          <w:bCs/>
          <w:sz w:val="24"/>
          <w:szCs w:val="20"/>
        </w:rPr>
        <w:t>Agenda item:</w:t>
      </w:r>
      <w:r w:rsidRPr="00BE3CA8">
        <w:rPr>
          <w:rFonts w:ascii="Arial" w:eastAsia="MS Mincho" w:hAnsi="Arial" w:cs="Arial"/>
          <w:b/>
          <w:bCs/>
          <w:sz w:val="24"/>
          <w:szCs w:val="20"/>
        </w:rPr>
        <w:tab/>
      </w:r>
      <w:r>
        <w:rPr>
          <w:rFonts w:ascii="Arial" w:eastAsia="MS Mincho" w:hAnsi="Arial" w:cs="Arial"/>
          <w:b/>
          <w:bCs/>
          <w:sz w:val="24"/>
          <w:szCs w:val="20"/>
        </w:rPr>
        <w:t>8.7.2.5</w:t>
      </w:r>
    </w:p>
    <w:p w14:paraId="52583A78" w14:textId="77777777" w:rsidR="00E05E57" w:rsidRPr="00EF698B" w:rsidRDefault="00E05E57" w:rsidP="00E05E57">
      <w:pPr>
        <w:tabs>
          <w:tab w:val="left" w:pos="1985"/>
        </w:tabs>
        <w:rPr>
          <w:rFonts w:ascii="Arial" w:eastAsia="Calibri" w:hAnsi="Arial" w:cs="Arial"/>
          <w:b/>
          <w:bCs/>
          <w:sz w:val="24"/>
        </w:rPr>
      </w:pPr>
      <w:r w:rsidRPr="00BE3CA8">
        <w:rPr>
          <w:rFonts w:ascii="Arial" w:eastAsia="Calibri" w:hAnsi="Arial" w:cs="Arial"/>
          <w:b/>
          <w:bCs/>
          <w:sz w:val="24"/>
        </w:rPr>
        <w:t>Document for:</w:t>
      </w:r>
      <w:r w:rsidRPr="00BE3CA8">
        <w:rPr>
          <w:rFonts w:ascii="Arial" w:eastAsia="Calibri" w:hAnsi="Arial" w:cs="Arial"/>
          <w:b/>
          <w:bCs/>
          <w:sz w:val="24"/>
        </w:rPr>
        <w:tab/>
        <w:t>Discussion</w:t>
      </w:r>
    </w:p>
    <w:p w14:paraId="1DC7FB11" w14:textId="77777777" w:rsidR="00E05E57" w:rsidRPr="00EF698B" w:rsidRDefault="00E05E57" w:rsidP="00E05E57">
      <w:pPr>
        <w:pStyle w:val="RAN4H1"/>
        <w:jc w:val="both"/>
        <w:rPr>
          <w:lang w:val="en-US"/>
        </w:rPr>
      </w:pPr>
      <w:bookmarkStart w:id="4" w:name="_Toc116995841"/>
      <w:r w:rsidRPr="00EF698B">
        <w:rPr>
          <w:lang w:val="en-US"/>
        </w:rPr>
        <w:t>Intro</w:t>
      </w:r>
      <w:r w:rsidRPr="00EF698B">
        <w:rPr>
          <w:rStyle w:val="RAN4H1Char"/>
          <w:lang w:val="en-US"/>
        </w:rPr>
        <w:t>ductio</w:t>
      </w:r>
      <w:r w:rsidRPr="00EF698B">
        <w:rPr>
          <w:lang w:val="en-US"/>
        </w:rPr>
        <w:t>n</w:t>
      </w:r>
      <w:bookmarkEnd w:id="4"/>
    </w:p>
    <w:p w14:paraId="1BF77D1D" w14:textId="77777777" w:rsidR="00E05E57" w:rsidRDefault="00E05E57" w:rsidP="00E05E57">
      <w:r>
        <w:t>Multiple agreements on multi-Rx TCI state switching requirements were reached during the RAN4#108 bis meeting. There are a few topics which were pending RAN1 response to the LS sent out by RAN4. In this contribution we discuss these remaining details of multi-Rx TCI state switching.</w:t>
      </w:r>
    </w:p>
    <w:p w14:paraId="00879562" w14:textId="77777777" w:rsidR="00E05E57" w:rsidRDefault="00E05E57" w:rsidP="00E05E57">
      <w:pPr>
        <w:pStyle w:val="RAN4H1"/>
        <w:jc w:val="both"/>
      </w:pPr>
      <w:r>
        <w:t xml:space="preserve">DCI based TCI state </w:t>
      </w:r>
      <w:proofErr w:type="gramStart"/>
      <w:r>
        <w:t>switching</w:t>
      </w:r>
      <w:proofErr w:type="gramEnd"/>
    </w:p>
    <w:p w14:paraId="6C7A8DE4" w14:textId="77777777" w:rsidR="00E05E57" w:rsidRPr="00F32A3B" w:rsidRDefault="00E05E57" w:rsidP="00E05E57">
      <w:pPr>
        <w:rPr>
          <w:lang w:val="en-GB"/>
        </w:rPr>
      </w:pPr>
      <w:r>
        <w:rPr>
          <w:lang w:val="en-GB"/>
        </w:rPr>
        <w:t>In RAN4#108 bis meeting, the following points were captured regarding DCI based TCI state switch:</w:t>
      </w:r>
    </w:p>
    <w:tbl>
      <w:tblPr>
        <w:tblStyle w:val="TableGrid"/>
        <w:tblW w:w="0" w:type="auto"/>
        <w:tblLook w:val="04A0" w:firstRow="1" w:lastRow="0" w:firstColumn="1" w:lastColumn="0" w:noHBand="0" w:noVBand="1"/>
      </w:tblPr>
      <w:tblGrid>
        <w:gridCol w:w="9186"/>
      </w:tblGrid>
      <w:tr w:rsidR="00E05E57" w:rsidRPr="004F0CB3" w14:paraId="5A8ECA90" w14:textId="77777777" w:rsidTr="00E505FD">
        <w:trPr>
          <w:trHeight w:val="4290"/>
        </w:trPr>
        <w:tc>
          <w:tcPr>
            <w:tcW w:w="9186" w:type="dxa"/>
          </w:tcPr>
          <w:p w14:paraId="34A253FF" w14:textId="77777777" w:rsidR="00E05E57" w:rsidRPr="002D2758" w:rsidRDefault="00E05E57" w:rsidP="00E505FD">
            <w:pPr>
              <w:spacing w:after="180"/>
              <w:rPr>
                <w:rFonts w:eastAsia="Times New Roman" w:cs="Times New Roman"/>
                <w:szCs w:val="20"/>
              </w:rPr>
            </w:pPr>
            <w:r w:rsidRPr="002D2758">
              <w:rPr>
                <w:rFonts w:eastAsia="Times New Roman" w:cs="Times New Roman"/>
                <w:b/>
                <w:bCs/>
                <w:szCs w:val="20"/>
                <w:u w:val="single"/>
                <w:lang w:val="en-GB"/>
              </w:rPr>
              <w:t xml:space="preserve">Issue 2-2-3: DCI based dual TCI state switch for </w:t>
            </w:r>
            <w:proofErr w:type="spellStart"/>
            <w:r w:rsidRPr="002D2758">
              <w:rPr>
                <w:rFonts w:eastAsia="Times New Roman" w:cs="Times New Roman"/>
                <w:b/>
                <w:bCs/>
                <w:szCs w:val="20"/>
                <w:u w:val="single"/>
                <w:lang w:val="en-GB"/>
              </w:rPr>
              <w:t>mDCI</w:t>
            </w:r>
            <w:proofErr w:type="spellEnd"/>
            <w:r w:rsidRPr="002D2758">
              <w:rPr>
                <w:rFonts w:eastAsia="Times New Roman" w:cs="Times New Roman"/>
                <w:b/>
                <w:bCs/>
                <w:szCs w:val="20"/>
                <w:u w:val="single"/>
                <w:lang w:val="en-GB"/>
              </w:rPr>
              <w:t xml:space="preserve"> </w:t>
            </w:r>
            <w:proofErr w:type="gramStart"/>
            <w:r w:rsidRPr="002D2758">
              <w:rPr>
                <w:rFonts w:eastAsia="Times New Roman" w:cs="Times New Roman"/>
                <w:b/>
                <w:bCs/>
                <w:szCs w:val="20"/>
                <w:u w:val="single"/>
                <w:lang w:val="en-GB"/>
              </w:rPr>
              <w:t>scenario</w:t>
            </w:r>
            <w:proofErr w:type="gramEnd"/>
          </w:p>
          <w:tbl>
            <w:tblPr>
              <w:tblW w:w="0" w:type="auto"/>
              <w:tblInd w:w="459" w:type="dxa"/>
              <w:tblBorders>
                <w:top w:val="single" w:sz="2" w:space="0" w:color="A3A3A3"/>
                <w:left w:val="single" w:sz="2" w:space="0" w:color="A3A3A3"/>
                <w:bottom w:val="single" w:sz="2" w:space="0" w:color="A3A3A3"/>
                <w:right w:val="single" w:sz="2" w:space="0" w:color="A3A3A3"/>
              </w:tblBorders>
              <w:tblCellMar>
                <w:left w:w="0" w:type="dxa"/>
                <w:right w:w="0" w:type="dxa"/>
              </w:tblCellMar>
              <w:tblLook w:val="04A0" w:firstRow="1" w:lastRow="0" w:firstColumn="1" w:lastColumn="0" w:noHBand="0" w:noVBand="1"/>
              <w:tblCaption w:val=""/>
              <w:tblDescription w:val=""/>
            </w:tblPr>
            <w:tblGrid>
              <w:gridCol w:w="917"/>
              <w:gridCol w:w="6780"/>
            </w:tblGrid>
            <w:tr w:rsidR="00E05E57" w:rsidRPr="002D2758" w14:paraId="10EE816C" w14:textId="77777777" w:rsidTr="00E505FD">
              <w:trPr>
                <w:trHeight w:val="255"/>
              </w:trPr>
              <w:tc>
                <w:tcPr>
                  <w:tcW w:w="917" w:type="dxa"/>
                  <w:tcBorders>
                    <w:top w:val="nil"/>
                    <w:left w:val="nil"/>
                    <w:bottom w:val="nil"/>
                    <w:right w:val="nil"/>
                  </w:tcBorders>
                  <w:tcMar>
                    <w:top w:w="80" w:type="dxa"/>
                    <w:left w:w="80" w:type="dxa"/>
                    <w:bottom w:w="80" w:type="dxa"/>
                    <w:right w:w="80" w:type="dxa"/>
                  </w:tcMar>
                  <w:hideMark/>
                </w:tcPr>
                <w:p w14:paraId="527D3FDE" w14:textId="77777777" w:rsidR="00E05E57" w:rsidRPr="002D2758" w:rsidRDefault="00E05E57" w:rsidP="00E505FD">
                  <w:pPr>
                    <w:spacing w:after="0" w:line="240" w:lineRule="auto"/>
                    <w:rPr>
                      <w:rFonts w:ascii="Calibri" w:eastAsia="Times New Roman" w:hAnsi="Calibri" w:cs="Calibri"/>
                      <w:sz w:val="22"/>
                    </w:rPr>
                  </w:pPr>
                  <w:r w:rsidRPr="002D2758">
                    <w:rPr>
                      <w:rFonts w:ascii="Calibri" w:eastAsia="Times New Roman" w:hAnsi="Calibri" w:cs="Calibri"/>
                      <w:sz w:val="22"/>
                    </w:rPr>
                    <w:t> </w:t>
                  </w:r>
                </w:p>
              </w:tc>
              <w:tc>
                <w:tcPr>
                  <w:tcW w:w="6780" w:type="dxa"/>
                  <w:tcBorders>
                    <w:top w:val="nil"/>
                    <w:left w:val="nil"/>
                    <w:bottom w:val="nil"/>
                    <w:right w:val="nil"/>
                  </w:tcBorders>
                  <w:tcMar>
                    <w:top w:w="80" w:type="dxa"/>
                    <w:left w:w="80" w:type="dxa"/>
                    <w:bottom w:w="80" w:type="dxa"/>
                    <w:right w:w="80" w:type="dxa"/>
                  </w:tcMar>
                  <w:hideMark/>
                </w:tcPr>
                <w:p w14:paraId="2A080682" w14:textId="77777777" w:rsidR="00E05E57" w:rsidRPr="002D2758" w:rsidRDefault="00E05E57" w:rsidP="00E505FD">
                  <w:pPr>
                    <w:spacing w:after="0" w:line="240" w:lineRule="auto"/>
                    <w:rPr>
                      <w:rFonts w:ascii="Calibri" w:eastAsia="Times New Roman" w:hAnsi="Calibri" w:cs="Calibri"/>
                      <w:sz w:val="22"/>
                    </w:rPr>
                  </w:pPr>
                  <w:r w:rsidRPr="002D2758">
                    <w:rPr>
                      <w:rFonts w:ascii="Calibri" w:eastAsia="Times New Roman" w:hAnsi="Calibri" w:cs="Calibri"/>
                      <w:sz w:val="22"/>
                    </w:rPr>
                    <w:t> </w:t>
                  </w:r>
                </w:p>
              </w:tc>
            </w:tr>
            <w:tr w:rsidR="00E05E57" w:rsidRPr="002D2758" w14:paraId="0BAF2E7A" w14:textId="77777777" w:rsidTr="00E505FD">
              <w:trPr>
                <w:trHeight w:val="1927"/>
              </w:trPr>
              <w:tc>
                <w:tcPr>
                  <w:tcW w:w="917" w:type="dxa"/>
                  <w:tcBorders>
                    <w:top w:val="nil"/>
                    <w:left w:val="nil"/>
                    <w:bottom w:val="nil"/>
                    <w:right w:val="nil"/>
                  </w:tcBorders>
                  <w:tcMar>
                    <w:top w:w="80" w:type="dxa"/>
                    <w:left w:w="80" w:type="dxa"/>
                    <w:bottom w:w="80" w:type="dxa"/>
                    <w:right w:w="80" w:type="dxa"/>
                  </w:tcMar>
                  <w:hideMark/>
                </w:tcPr>
                <w:p w14:paraId="28E7B7B2" w14:textId="77777777" w:rsidR="00E05E57" w:rsidRPr="002D2758" w:rsidRDefault="00E05E57" w:rsidP="00E505FD">
                  <w:pPr>
                    <w:spacing w:after="0" w:line="240" w:lineRule="auto"/>
                    <w:rPr>
                      <w:rFonts w:ascii="Calibri" w:eastAsia="Times New Roman" w:hAnsi="Calibri" w:cs="Calibri"/>
                      <w:sz w:val="22"/>
                    </w:rPr>
                  </w:pPr>
                  <w:r w:rsidRPr="002D2758">
                    <w:rPr>
                      <w:rFonts w:ascii="Calibri" w:eastAsia="Times New Roman" w:hAnsi="Calibri" w:cs="Calibri"/>
                      <w:sz w:val="22"/>
                    </w:rPr>
                    <w:t> </w:t>
                  </w:r>
                </w:p>
              </w:tc>
              <w:tc>
                <w:tcPr>
                  <w:tcW w:w="6780" w:type="dxa"/>
                  <w:tcBorders>
                    <w:top w:val="nil"/>
                    <w:left w:val="nil"/>
                    <w:bottom w:val="nil"/>
                    <w:right w:val="nil"/>
                  </w:tcBorders>
                  <w:tcMar>
                    <w:top w:w="80" w:type="dxa"/>
                    <w:left w:w="80" w:type="dxa"/>
                    <w:bottom w:w="80" w:type="dxa"/>
                    <w:right w:w="80" w:type="dxa"/>
                  </w:tcMar>
                  <w:hideMark/>
                </w:tcPr>
                <w:p w14:paraId="5C7EE8A0" w14:textId="77777777" w:rsidR="00E05E57" w:rsidRPr="002D2758" w:rsidRDefault="00E05E57" w:rsidP="00E505FD">
                  <w:pPr>
                    <w:spacing w:after="0" w:line="240" w:lineRule="auto"/>
                    <w:rPr>
                      <w:rFonts w:eastAsia="Times New Roman" w:cs="Times New Roman"/>
                      <w:sz w:val="24"/>
                      <w:szCs w:val="24"/>
                    </w:rPr>
                  </w:pPr>
                  <w:r w:rsidRPr="004F0CB3">
                    <w:rPr>
                      <w:noProof/>
                      <w:lang w:val="en-GB"/>
                    </w:rPr>
                    <w:drawing>
                      <wp:inline distT="0" distB="0" distL="0" distR="0" wp14:anchorId="344E383A" wp14:editId="37CFCA7C">
                        <wp:extent cx="2561442" cy="1295400"/>
                        <wp:effectExtent l="0" t="0" r="0" b="0"/>
                        <wp:docPr id="1339103383" name="Picture 1339103383"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9103383" name="Picture 1339103383" descr="A diagram of a diagram&#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67991" cy="1298712"/>
                                </a:xfrm>
                                <a:prstGeom prst="rect">
                                  <a:avLst/>
                                </a:prstGeom>
                                <a:noFill/>
                                <a:ln>
                                  <a:noFill/>
                                </a:ln>
                              </pic:spPr>
                            </pic:pic>
                          </a:graphicData>
                        </a:graphic>
                      </wp:inline>
                    </w:drawing>
                  </w:r>
                </w:p>
              </w:tc>
            </w:tr>
          </w:tbl>
          <w:p w14:paraId="5A96A475" w14:textId="77777777" w:rsidR="00E05E57" w:rsidRPr="002D2758" w:rsidRDefault="00E05E57" w:rsidP="00E505FD">
            <w:pPr>
              <w:spacing w:after="120"/>
              <w:ind w:left="540"/>
              <w:rPr>
                <w:rFonts w:ascii="Calibri" w:eastAsia="Times New Roman" w:hAnsi="Calibri" w:cs="Calibri"/>
                <w:sz w:val="22"/>
              </w:rPr>
            </w:pPr>
            <w:r w:rsidRPr="002D2758">
              <w:rPr>
                <w:rFonts w:ascii="Calibri" w:eastAsia="Times New Roman" w:hAnsi="Calibri" w:cs="Calibri"/>
                <w:sz w:val="22"/>
              </w:rPr>
              <w:t> </w:t>
            </w:r>
          </w:p>
          <w:p w14:paraId="603007CD" w14:textId="77777777" w:rsidR="00E05E57" w:rsidRPr="002D2758" w:rsidRDefault="00E05E57" w:rsidP="00E505FD">
            <w:pPr>
              <w:spacing w:after="180"/>
              <w:rPr>
                <w:rFonts w:eastAsia="Times New Roman" w:cs="Times New Roman"/>
                <w:szCs w:val="20"/>
                <w:lang w:val="en-GB"/>
              </w:rPr>
            </w:pPr>
            <w:r w:rsidRPr="002D2758">
              <w:rPr>
                <w:rFonts w:eastAsia="Times New Roman" w:cs="Times New Roman"/>
                <w:b/>
                <w:bCs/>
                <w:szCs w:val="20"/>
                <w:u w:val="single"/>
                <w:lang w:val="en-GB"/>
              </w:rPr>
              <w:t xml:space="preserve">Issue 2-2-2-1: DCI based dual TCI state switch delay for </w:t>
            </w:r>
            <w:proofErr w:type="spellStart"/>
            <w:r w:rsidRPr="002D2758">
              <w:rPr>
                <w:rFonts w:eastAsia="Times New Roman" w:cs="Times New Roman"/>
                <w:b/>
                <w:bCs/>
                <w:szCs w:val="20"/>
                <w:u w:val="single"/>
                <w:lang w:val="en-GB"/>
              </w:rPr>
              <w:t>mDCI</w:t>
            </w:r>
            <w:proofErr w:type="spellEnd"/>
            <w:r w:rsidRPr="002D2758">
              <w:rPr>
                <w:rFonts w:eastAsia="Times New Roman" w:cs="Times New Roman"/>
                <w:b/>
                <w:bCs/>
                <w:szCs w:val="20"/>
                <w:u w:val="single"/>
                <w:lang w:val="en-GB"/>
              </w:rPr>
              <w:t>:</w:t>
            </w:r>
          </w:p>
          <w:p w14:paraId="2DA82182" w14:textId="77777777" w:rsidR="00E05E57" w:rsidRPr="002D2758" w:rsidRDefault="00E05E57" w:rsidP="00E05E57">
            <w:pPr>
              <w:numPr>
                <w:ilvl w:val="0"/>
                <w:numId w:val="35"/>
              </w:numPr>
              <w:spacing w:after="120"/>
              <w:textAlignment w:val="center"/>
              <w:rPr>
                <w:rFonts w:ascii="Calibri" w:eastAsia="Times New Roman" w:hAnsi="Calibri" w:cs="Calibri"/>
                <w:sz w:val="22"/>
                <w:lang w:val="en-GB"/>
              </w:rPr>
            </w:pPr>
            <w:r w:rsidRPr="002D2758">
              <w:rPr>
                <w:rFonts w:eastAsia="Times New Roman" w:cs="Times New Roman"/>
                <w:szCs w:val="20"/>
                <w:lang w:val="en-GB"/>
              </w:rPr>
              <w:t xml:space="preserve">Suggest waiting for RAN1 reply as CRs can be agreed in next meeting only. </w:t>
            </w:r>
          </w:p>
          <w:p w14:paraId="261A507E" w14:textId="77777777" w:rsidR="00E05E57" w:rsidRPr="004F0CB3" w:rsidRDefault="00E05E57" w:rsidP="00E505FD">
            <w:pPr>
              <w:spacing w:after="120"/>
              <w:ind w:left="720"/>
              <w:textAlignment w:val="center"/>
              <w:rPr>
                <w:lang w:val="en-GB"/>
              </w:rPr>
            </w:pPr>
          </w:p>
        </w:tc>
      </w:tr>
    </w:tbl>
    <w:p w14:paraId="32FDD985" w14:textId="77777777" w:rsidR="00E05E57" w:rsidRDefault="00E05E57" w:rsidP="00E05E57">
      <w:pPr>
        <w:rPr>
          <w:color w:val="E7E6E6" w:themeColor="background2"/>
          <w:lang w:val="en-GB"/>
        </w:rPr>
      </w:pPr>
    </w:p>
    <w:p w14:paraId="4F8E89AC" w14:textId="77777777" w:rsidR="00E05E57" w:rsidRDefault="00E05E57" w:rsidP="00E05E57">
      <w:pPr>
        <w:rPr>
          <w:lang w:val="en-GB"/>
        </w:rPr>
      </w:pPr>
      <w:r>
        <w:rPr>
          <w:lang w:val="en-GB"/>
        </w:rPr>
        <w:t>RAN 1 has responded to the LS sent by RAN4 [2] stating that there is no minimum duration defined between reception of DCI1 and PDSCH0 (with reference to the figure in Issue 2-2-3) in RAN1 specifications. With this clarification from RAN1, there is no need for any offset between reception of a DCI from one TRP and switching to a new TCI state for PDSCH reception in another TRP as the UE can process these independently.</w:t>
      </w:r>
    </w:p>
    <w:p w14:paraId="2A447AD4" w14:textId="77777777" w:rsidR="00E05E57" w:rsidRDefault="00E05E57" w:rsidP="00E05E57">
      <w:pPr>
        <w:rPr>
          <w:lang w:val="en-GB"/>
        </w:rPr>
      </w:pPr>
      <w:r>
        <w:rPr>
          <w:lang w:val="en-GB"/>
        </w:rPr>
        <w:t>Hence in DCI based dual TCI state switch for m-DCI, RAN4 will reuse the existing Rel-16 requirements for each TRP independently.</w:t>
      </w:r>
    </w:p>
    <w:p w14:paraId="2028EDB6" w14:textId="77777777" w:rsidR="00E05E57" w:rsidRDefault="00E05E57" w:rsidP="00E05E57">
      <w:pPr>
        <w:pStyle w:val="RAN4observation0"/>
        <w:ind w:left="0" w:firstLine="0"/>
        <w:jc w:val="both"/>
        <w:rPr>
          <w:rFonts w:eastAsiaTheme="minorHAnsi" w:cstheme="minorBidi"/>
          <w:szCs w:val="22"/>
        </w:rPr>
      </w:pPr>
      <w:bookmarkStart w:id="5" w:name="_Toc149906459"/>
      <w:r>
        <w:t xml:space="preserve">According to the RAN1 specification, the delay </w:t>
      </w:r>
      <w:proofErr w:type="spellStart"/>
      <w:r w:rsidRPr="006175DF">
        <w:t>timeDurationForQCL</w:t>
      </w:r>
      <w:proofErr w:type="spellEnd"/>
      <w:r>
        <w:t xml:space="preserve"> applies independent of whether the DCIs from two TRPs are received simultaneously or non-simultaneously in the multi-DCI scenario.</w:t>
      </w:r>
      <w:bookmarkEnd w:id="5"/>
      <w:r>
        <w:t xml:space="preserve"> </w:t>
      </w:r>
    </w:p>
    <w:p w14:paraId="5D3418A9" w14:textId="77777777" w:rsidR="00E05E57" w:rsidRDefault="00E05E57" w:rsidP="00E05E57">
      <w:pPr>
        <w:pStyle w:val="RAN4observation0"/>
        <w:numPr>
          <w:ilvl w:val="0"/>
          <w:numId w:val="0"/>
        </w:numPr>
        <w:rPr>
          <w:rFonts w:eastAsiaTheme="minorHAnsi" w:cstheme="minorBidi"/>
          <w:szCs w:val="22"/>
        </w:rPr>
      </w:pPr>
    </w:p>
    <w:p w14:paraId="32A2F86B" w14:textId="77777777" w:rsidR="00E05E57" w:rsidRPr="00537577" w:rsidRDefault="00E05E57" w:rsidP="00E05E57">
      <w:r w:rsidRPr="00537577">
        <w:t xml:space="preserve">This means that the UE shall be able to receive the individual TCI states after points C and D (as in the figure in issue 2-2-3). When the second DCI is received while the UE is still in the middle of switching the other TCI state based on </w:t>
      </w:r>
      <w:r w:rsidRPr="00537577">
        <w:lastRenderedPageBreak/>
        <w:t xml:space="preserve">another DCI the UE shall be able to receive the two target TCI states simultaneously after point D </w:t>
      </w:r>
      <w:proofErr w:type="gramStart"/>
      <w:r w:rsidRPr="00537577">
        <w:t>i.e.</w:t>
      </w:r>
      <w:proofErr w:type="gramEnd"/>
      <w:r w:rsidRPr="00537577">
        <w:t xml:space="preserve"> after both TCI state switches have been completed. </w:t>
      </w:r>
    </w:p>
    <w:p w14:paraId="3120DF5D" w14:textId="77777777" w:rsidR="00E05E57" w:rsidRDefault="00E05E57" w:rsidP="00E05E57">
      <w:pPr>
        <w:pStyle w:val="RAN4proposal"/>
        <w:ind w:left="0" w:firstLine="0"/>
        <w:rPr>
          <w:lang w:val="en-GB"/>
        </w:rPr>
      </w:pPr>
      <w:bookmarkStart w:id="6" w:name="_Toc149906460"/>
      <w:r w:rsidRPr="009A576F">
        <w:rPr>
          <w:lang w:val="en-GB"/>
        </w:rPr>
        <w:t>For multi-DCI scenario, DCI based TCI state switch is per TRP. Hence legacy requirement can be reused and applied per TRP.</w:t>
      </w:r>
      <w:r>
        <w:rPr>
          <w:lang w:val="en-GB"/>
        </w:rPr>
        <w:t xml:space="preserve"> When the TCI state switching periods/delays are overlapping in time, the UE shall be able to receive the two target TCI states simultaneously after both TCI state switches are completed.</w:t>
      </w:r>
      <w:bookmarkEnd w:id="6"/>
    </w:p>
    <w:p w14:paraId="5525B8FE" w14:textId="77777777" w:rsidR="00E05E57" w:rsidRDefault="00E05E57" w:rsidP="00E05E57">
      <w:pPr>
        <w:pStyle w:val="RAN4H1"/>
        <w:jc w:val="both"/>
      </w:pPr>
      <w:r>
        <w:t>MAC-CE based TCI state switching</w:t>
      </w:r>
    </w:p>
    <w:p w14:paraId="2336C9AF" w14:textId="77777777" w:rsidR="00E05E57" w:rsidRPr="00F32A3B" w:rsidRDefault="00E05E57" w:rsidP="00E05E57">
      <w:pPr>
        <w:rPr>
          <w:lang w:val="en-GB"/>
        </w:rPr>
      </w:pPr>
      <w:r>
        <w:rPr>
          <w:lang w:val="en-GB"/>
        </w:rPr>
        <w:t>In RAN4#107 meeting, the following agreements were reached regarding MAC-CE based TCI state switch:</w:t>
      </w:r>
    </w:p>
    <w:tbl>
      <w:tblPr>
        <w:tblStyle w:val="TableGrid"/>
        <w:tblW w:w="0" w:type="auto"/>
        <w:tblLook w:val="04A0" w:firstRow="1" w:lastRow="0" w:firstColumn="1" w:lastColumn="0" w:noHBand="0" w:noVBand="1"/>
      </w:tblPr>
      <w:tblGrid>
        <w:gridCol w:w="9617"/>
      </w:tblGrid>
      <w:tr w:rsidR="00E05E57" w:rsidRPr="004F0CB3" w14:paraId="0FB76BA5" w14:textId="77777777" w:rsidTr="00E505FD">
        <w:tc>
          <w:tcPr>
            <w:tcW w:w="9617" w:type="dxa"/>
          </w:tcPr>
          <w:p w14:paraId="07E3F726" w14:textId="77777777" w:rsidR="00E05E57" w:rsidRPr="00AE26A8" w:rsidRDefault="00E05E57" w:rsidP="00E505FD">
            <w:pPr>
              <w:spacing w:after="180"/>
              <w:ind w:left="540"/>
              <w:rPr>
                <w:rFonts w:eastAsia="Times New Roman" w:cs="Times New Roman"/>
                <w:szCs w:val="20"/>
                <w:lang w:val="en-GB"/>
              </w:rPr>
            </w:pPr>
            <w:r w:rsidRPr="00AE26A8">
              <w:rPr>
                <w:rFonts w:eastAsia="Times New Roman" w:cs="Times New Roman"/>
                <w:b/>
                <w:bCs/>
                <w:szCs w:val="20"/>
                <w:u w:val="single"/>
                <w:lang w:val="en-GB"/>
              </w:rPr>
              <w:t>Issue 2-3-2: MAC CE based PDCCH TCI state switch for m-DCI scenario</w:t>
            </w:r>
          </w:p>
          <w:p w14:paraId="4F8D259A" w14:textId="77777777" w:rsidR="00E05E57" w:rsidRPr="00AE26A8" w:rsidRDefault="00E05E57" w:rsidP="00E05E57">
            <w:pPr>
              <w:numPr>
                <w:ilvl w:val="0"/>
                <w:numId w:val="36"/>
              </w:numPr>
              <w:spacing w:after="120"/>
              <w:textAlignment w:val="center"/>
              <w:rPr>
                <w:rFonts w:ascii="Calibri" w:eastAsia="Times New Roman" w:hAnsi="Calibri" w:cs="Calibri"/>
                <w:sz w:val="22"/>
                <w:lang w:val="en-GB"/>
              </w:rPr>
            </w:pPr>
            <w:r w:rsidRPr="00AE26A8">
              <w:rPr>
                <w:rFonts w:eastAsia="Times New Roman" w:cs="Times New Roman"/>
                <w:szCs w:val="20"/>
                <w:lang w:val="en-GB"/>
              </w:rPr>
              <w:t xml:space="preserve">Wait for RAN1 LS </w:t>
            </w:r>
            <w:proofErr w:type="gramStart"/>
            <w:r w:rsidRPr="00AE26A8">
              <w:rPr>
                <w:rFonts w:eastAsia="Times New Roman" w:cs="Times New Roman"/>
                <w:szCs w:val="20"/>
                <w:lang w:val="en-GB"/>
              </w:rPr>
              <w:t>response</w:t>
            </w:r>
            <w:proofErr w:type="gramEnd"/>
            <w:r w:rsidRPr="00AE26A8">
              <w:rPr>
                <w:rFonts w:eastAsia="Times New Roman" w:cs="Times New Roman"/>
                <w:szCs w:val="20"/>
                <w:lang w:val="en-GB"/>
              </w:rPr>
              <w:t xml:space="preserve"> </w:t>
            </w:r>
          </w:p>
          <w:p w14:paraId="74E852A5" w14:textId="77777777" w:rsidR="00E05E57" w:rsidRPr="004F0CB3" w:rsidRDefault="00E05E57" w:rsidP="00E505FD">
            <w:pPr>
              <w:rPr>
                <w:lang w:val="en-GB"/>
              </w:rPr>
            </w:pPr>
          </w:p>
        </w:tc>
      </w:tr>
    </w:tbl>
    <w:p w14:paraId="0AA95B68" w14:textId="77777777" w:rsidR="00E05E57" w:rsidRPr="000F0C33" w:rsidRDefault="00E05E57" w:rsidP="00E05E57">
      <w:pPr>
        <w:rPr>
          <w:lang w:val="en-GB"/>
        </w:rPr>
      </w:pPr>
    </w:p>
    <w:p w14:paraId="1E245CAE" w14:textId="77777777" w:rsidR="00E05E57" w:rsidRDefault="00E05E57" w:rsidP="00E05E57">
      <w:r>
        <w:t xml:space="preserve">RAN 1 has clarified in the response to the LS from RAN4, that simultaneous reception of two PDCCH with different QCL type D associated to different </w:t>
      </w:r>
      <w:proofErr w:type="spellStart"/>
      <w:r>
        <w:t>CORESETPoolIndex</w:t>
      </w:r>
      <w:proofErr w:type="spellEnd"/>
      <w:r>
        <w:t xml:space="preserve"> is a Rel-18 UE capability.</w:t>
      </w:r>
    </w:p>
    <w:p w14:paraId="74044604" w14:textId="77777777" w:rsidR="00E05E57" w:rsidRDefault="00E05E57" w:rsidP="00E05E57">
      <w:proofErr w:type="gramStart"/>
      <w:r>
        <w:t>In light of</w:t>
      </w:r>
      <w:proofErr w:type="gramEnd"/>
      <w:r>
        <w:t xml:space="preserve"> this, the switch of each of the TCI state will depend on the timing of the SSB transmission to which the target TCI state has a QCL A or QCL C relation.  For example, with reference to </w:t>
      </w:r>
      <w:r>
        <w:fldChar w:fldCharType="begin"/>
      </w:r>
      <w:r>
        <w:instrText xml:space="preserve"> REF _Ref148809637 \h </w:instrText>
      </w:r>
      <w:r>
        <w:fldChar w:fldCharType="separate"/>
      </w:r>
      <w:r>
        <w:t xml:space="preserve">Figure </w:t>
      </w:r>
      <w:r>
        <w:rPr>
          <w:noProof/>
        </w:rPr>
        <w:t>1</w:t>
      </w:r>
      <w:r>
        <w:fldChar w:fldCharType="end"/>
      </w:r>
      <w:r>
        <w:t>, the T</w:t>
      </w:r>
      <w:r w:rsidRPr="006B3340">
        <w:rPr>
          <w:vertAlign w:val="subscript"/>
        </w:rPr>
        <w:t>firstSSB1</w:t>
      </w:r>
      <w:r>
        <w:t xml:space="preserve"> associated with target TCI state for TRP1 may occur at time instance t1, hence the TCI state for TRP1 will be switched at time instance t3. However, the T</w:t>
      </w:r>
      <w:r w:rsidRPr="00B35AC5">
        <w:rPr>
          <w:vertAlign w:val="subscript"/>
        </w:rPr>
        <w:t>firstSSB2</w:t>
      </w:r>
      <w:r>
        <w:t xml:space="preserve"> for target TCI state for TRP2 may occur at time instance at time t2, whereby the UE can receive with target TCI state from TRP2 at time instance t4. Hence, Rel-18 UEs supporting simultaneous PDCCH reception can receive the PDCCHs simultaneously at point t4. </w:t>
      </w:r>
    </w:p>
    <w:p w14:paraId="62FEFA3E" w14:textId="77777777" w:rsidR="00E05E57" w:rsidRDefault="00E05E57" w:rsidP="00E05E57">
      <w:pPr>
        <w:jc w:val="center"/>
      </w:pPr>
      <w:r>
        <w:object w:dxaOrig="6931" w:dyaOrig="4231" w14:anchorId="4D15F7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85pt;height:211.6pt" o:ole="">
            <v:imagedata r:id="rId14" o:title=""/>
          </v:shape>
          <o:OLEObject Type="Embed" ProgID="Visio.Drawing.15" ShapeID="_x0000_i1025" DrawAspect="Content" ObjectID="_1760521239" r:id="rId15"/>
        </w:object>
      </w:r>
    </w:p>
    <w:p w14:paraId="6AD300DA" w14:textId="77777777" w:rsidR="00E05E57" w:rsidRDefault="00E05E57" w:rsidP="00E05E57">
      <w:pPr>
        <w:keepNext/>
        <w:jc w:val="center"/>
      </w:pPr>
    </w:p>
    <w:p w14:paraId="3BD48D5A" w14:textId="77777777" w:rsidR="00E05E57" w:rsidRDefault="00E05E57" w:rsidP="00E05E57">
      <w:pPr>
        <w:pStyle w:val="Caption"/>
      </w:pPr>
      <w:bookmarkStart w:id="7" w:name="_Ref148809637"/>
      <w:r>
        <w:t xml:space="preserve">Figure </w:t>
      </w:r>
      <w:r>
        <w:fldChar w:fldCharType="begin"/>
      </w:r>
      <w:r>
        <w:instrText>SEQ Figure \* ARABIC</w:instrText>
      </w:r>
      <w:r>
        <w:fldChar w:fldCharType="separate"/>
      </w:r>
      <w:r>
        <w:rPr>
          <w:noProof/>
        </w:rPr>
        <w:t>1</w:t>
      </w:r>
      <w:r>
        <w:fldChar w:fldCharType="end"/>
      </w:r>
      <w:bookmarkEnd w:id="7"/>
      <w:r>
        <w:t>: Simultaneous PDCCH reception</w:t>
      </w:r>
    </w:p>
    <w:p w14:paraId="643F8DBC" w14:textId="77777777" w:rsidR="00E05E57" w:rsidRPr="00722C54" w:rsidRDefault="00E05E57" w:rsidP="00E05E57">
      <w:r>
        <w:t xml:space="preserve">For UEs not supporting simultaneous PDCCH reception capability, the requirements per TRP would apply independently. As the requirements are being defined only for intra-cell scenario, the SSBs from the TRPs will not </w:t>
      </w:r>
      <w:r w:rsidRPr="00722C54">
        <w:t>overlap and hence we see no reason to add any additional delay.</w:t>
      </w:r>
    </w:p>
    <w:p w14:paraId="752D4F8B" w14:textId="77777777" w:rsidR="00E05E57" w:rsidRPr="009074FD" w:rsidRDefault="00E05E57" w:rsidP="00E05E57">
      <w:pPr>
        <w:pStyle w:val="RAN4proposal"/>
        <w:ind w:left="0" w:firstLine="0"/>
      </w:pPr>
      <w:bookmarkStart w:id="8" w:name="_Toc149906461"/>
      <w:r w:rsidRPr="00C2418D">
        <w:t>Rel-18 UEs which support simultaneous PDCCH reception can receive the PDCCHs from the two TRPs simultaneously when the later of the two TCIs states is switched.</w:t>
      </w:r>
      <w:bookmarkEnd w:id="8"/>
      <w:r w:rsidRPr="00C2418D">
        <w:t xml:space="preserve"> </w:t>
      </w:r>
    </w:p>
    <w:p w14:paraId="66517710" w14:textId="77777777" w:rsidR="00E05E57" w:rsidRPr="007A48E3" w:rsidRDefault="00E05E57" w:rsidP="00E05E57">
      <w:pPr>
        <w:pStyle w:val="RAN4proposal"/>
        <w:ind w:left="0" w:firstLine="0"/>
      </w:pPr>
      <w:bookmarkStart w:id="9" w:name="_Toc149906462"/>
      <w:r>
        <w:t>For UEs (including Rel-18) not supporting simultaneous PDCCH reception capability, the requirements per TRP would apply independently. Legacy requirements for MAC-CE based TCI state switch for PDCCH apply per TRP.</w:t>
      </w:r>
      <w:bookmarkEnd w:id="9"/>
    </w:p>
    <w:p w14:paraId="5E518C7C" w14:textId="77777777" w:rsidR="00E05E57" w:rsidRPr="000E5661" w:rsidRDefault="00E05E57" w:rsidP="00E05E57">
      <w:pPr>
        <w:pStyle w:val="RAN4H1"/>
        <w:jc w:val="both"/>
      </w:pPr>
      <w:r w:rsidRPr="000E5661">
        <w:lastRenderedPageBreak/>
        <w:t xml:space="preserve">RRC based TCI state </w:t>
      </w:r>
      <w:proofErr w:type="gramStart"/>
      <w:r w:rsidRPr="000E5661">
        <w:t>switching</w:t>
      </w:r>
      <w:proofErr w:type="gramEnd"/>
      <w:r w:rsidRPr="000E5661">
        <w:t xml:space="preserve"> </w:t>
      </w:r>
    </w:p>
    <w:p w14:paraId="79874B8F" w14:textId="77777777" w:rsidR="00E05E57" w:rsidRPr="000F7173" w:rsidRDefault="00E05E57" w:rsidP="00E05E57">
      <w:pPr>
        <w:spacing w:after="0" w:line="240" w:lineRule="auto"/>
        <w:ind w:left="540"/>
        <w:rPr>
          <w:lang w:val="en-GB"/>
        </w:rPr>
      </w:pPr>
    </w:p>
    <w:p w14:paraId="566A96F9" w14:textId="77777777" w:rsidR="00E05E57" w:rsidRPr="000F7173" w:rsidRDefault="00E05E57" w:rsidP="00E05E57">
      <w:pPr>
        <w:spacing w:after="0" w:line="240" w:lineRule="auto"/>
        <w:rPr>
          <w:lang w:val="en-GB"/>
        </w:rPr>
      </w:pPr>
      <w:r w:rsidRPr="000F7173">
        <w:rPr>
          <w:lang w:val="en-GB"/>
        </w:rPr>
        <w:t>RAN1 has confirmed in the LS reply that RRC based TCI state switching is possible in case of m-DCI. Since the current requirements for RRC based TCI state switch delay apply when only one TCI state is configured in RRC TCI state list, this needs to be updated to reflect the scenario where the UE will receive two target TCI states. For such scenarios, the legacy RRC requirements can be reused and can apply per TRP.</w:t>
      </w:r>
    </w:p>
    <w:p w14:paraId="522EA932" w14:textId="77777777" w:rsidR="00E05E57" w:rsidRDefault="00E05E57" w:rsidP="00E05E57">
      <w:pPr>
        <w:spacing w:after="0" w:line="240" w:lineRule="auto"/>
        <w:ind w:left="540"/>
        <w:rPr>
          <w:rFonts w:ascii="Arial" w:eastAsia="Times New Roman" w:hAnsi="Arial" w:cs="Arial"/>
          <w:color w:val="A6A6A6" w:themeColor="background1" w:themeShade="A6"/>
          <w:szCs w:val="20"/>
          <w:lang w:val="en-GB"/>
        </w:rPr>
      </w:pPr>
    </w:p>
    <w:p w14:paraId="631DBBBA" w14:textId="77777777" w:rsidR="00E05E57" w:rsidRPr="00DE61B6" w:rsidRDefault="00E05E57" w:rsidP="00E05E57">
      <w:pPr>
        <w:pStyle w:val="RAN4proposal"/>
        <w:ind w:left="0" w:firstLine="0"/>
        <w:rPr>
          <w:lang w:val="en-GB"/>
        </w:rPr>
      </w:pPr>
      <w:bookmarkStart w:id="10" w:name="_Toc149906463"/>
      <w:r w:rsidRPr="00DE61B6">
        <w:rPr>
          <w:lang w:val="en-GB"/>
        </w:rPr>
        <w:t xml:space="preserve">RRC based TCI state switch delay requirements will apply </w:t>
      </w:r>
      <w:r>
        <w:rPr>
          <w:lang w:val="en-GB"/>
        </w:rPr>
        <w:t xml:space="preserve">when the UE is configured via RRC with TCI states per CORESET associated with a different </w:t>
      </w:r>
      <w:proofErr w:type="spellStart"/>
      <w:r w:rsidRPr="000F7173">
        <w:rPr>
          <w:i/>
          <w:iCs w:val="0"/>
          <w:lang w:val="en-GB"/>
        </w:rPr>
        <w:t>CORESETPoolIndex</w:t>
      </w:r>
      <w:proofErr w:type="spellEnd"/>
      <w:r>
        <w:rPr>
          <w:lang w:val="en-GB"/>
        </w:rPr>
        <w:t>. The legacy RRC requirements can be reused and shall apply per TRP.</w:t>
      </w:r>
      <w:bookmarkEnd w:id="10"/>
      <w:r>
        <w:rPr>
          <w:lang w:val="en-GB"/>
        </w:rPr>
        <w:t xml:space="preserve"> </w:t>
      </w:r>
      <w:bookmarkStart w:id="11" w:name="_Toc133324113"/>
    </w:p>
    <w:bookmarkEnd w:id="11"/>
    <w:p w14:paraId="06B7C33D" w14:textId="77777777" w:rsidR="00E05E57" w:rsidRDefault="00E05E57" w:rsidP="00E05E57">
      <w:pPr>
        <w:pStyle w:val="RAN4H1"/>
        <w:jc w:val="both"/>
      </w:pPr>
      <w:r>
        <w:t>Active TCI state list update</w:t>
      </w:r>
    </w:p>
    <w:p w14:paraId="52C9A784" w14:textId="77777777" w:rsidR="00E05E57" w:rsidRPr="00D114CE" w:rsidRDefault="00E05E57" w:rsidP="00E05E57">
      <w:pPr>
        <w:rPr>
          <w:lang w:val="en-GB"/>
        </w:rPr>
      </w:pPr>
      <w:r>
        <w:rPr>
          <w:lang w:val="en-GB"/>
        </w:rPr>
        <w:t>In RAN4#108-bis meeting, the following was agreed about active TCI state list update:</w:t>
      </w:r>
    </w:p>
    <w:tbl>
      <w:tblPr>
        <w:tblStyle w:val="TableGrid"/>
        <w:tblW w:w="0" w:type="auto"/>
        <w:tblLook w:val="04A0" w:firstRow="1" w:lastRow="0" w:firstColumn="1" w:lastColumn="0" w:noHBand="0" w:noVBand="1"/>
      </w:tblPr>
      <w:tblGrid>
        <w:gridCol w:w="9617"/>
      </w:tblGrid>
      <w:tr w:rsidR="00E05E57" w14:paraId="1165377E" w14:textId="77777777" w:rsidTr="00E505FD">
        <w:tc>
          <w:tcPr>
            <w:tcW w:w="9617" w:type="dxa"/>
          </w:tcPr>
          <w:p w14:paraId="1D2C612D" w14:textId="77777777" w:rsidR="00E05E57" w:rsidRPr="004A6291" w:rsidRDefault="00E05E57" w:rsidP="00E505FD">
            <w:pPr>
              <w:spacing w:before="120" w:after="180"/>
              <w:ind w:left="540"/>
              <w:rPr>
                <w:rFonts w:ascii="Arial" w:eastAsia="Times New Roman" w:hAnsi="Arial" w:cs="Arial"/>
                <w:sz w:val="28"/>
                <w:szCs w:val="28"/>
              </w:rPr>
            </w:pPr>
            <w:r w:rsidRPr="004A6291">
              <w:rPr>
                <w:rFonts w:ascii="Arial" w:eastAsia="Times New Roman" w:hAnsi="Arial" w:cs="Arial"/>
                <w:sz w:val="28"/>
                <w:szCs w:val="28"/>
              </w:rPr>
              <w:t>Sub-topic 2-6: Active TCI state list update</w:t>
            </w:r>
          </w:p>
          <w:p w14:paraId="4A98B63E" w14:textId="77777777" w:rsidR="00E05E57" w:rsidRPr="004A6291" w:rsidRDefault="00E05E57" w:rsidP="00E505FD">
            <w:pPr>
              <w:spacing w:after="180"/>
              <w:ind w:left="540"/>
              <w:rPr>
                <w:rFonts w:eastAsia="Times New Roman" w:cs="Times New Roman"/>
                <w:szCs w:val="20"/>
                <w:lang w:val="en-GB"/>
              </w:rPr>
            </w:pPr>
            <w:r w:rsidRPr="004A6291">
              <w:rPr>
                <w:rFonts w:eastAsia="Times New Roman" w:cs="Times New Roman"/>
                <w:b/>
                <w:bCs/>
                <w:szCs w:val="20"/>
                <w:u w:val="single"/>
                <w:lang w:val="en-GB"/>
              </w:rPr>
              <w:t xml:space="preserve">Issue 2-6-1: Active TCI state list update delay requirement for </w:t>
            </w:r>
            <w:proofErr w:type="spellStart"/>
            <w:r w:rsidRPr="004A6291">
              <w:rPr>
                <w:rFonts w:eastAsia="Times New Roman" w:cs="Times New Roman"/>
                <w:b/>
                <w:bCs/>
                <w:szCs w:val="20"/>
                <w:u w:val="single"/>
                <w:lang w:val="en-GB"/>
              </w:rPr>
              <w:t>mDCI</w:t>
            </w:r>
            <w:proofErr w:type="spellEnd"/>
          </w:p>
          <w:p w14:paraId="5F943985" w14:textId="77777777" w:rsidR="00E05E57" w:rsidRPr="00E05E57" w:rsidRDefault="00E05E57" w:rsidP="00E05E57">
            <w:pPr>
              <w:numPr>
                <w:ilvl w:val="0"/>
                <w:numId w:val="37"/>
              </w:numPr>
              <w:spacing w:after="120"/>
              <w:textAlignment w:val="center"/>
              <w:rPr>
                <w:rFonts w:ascii="Calibri" w:eastAsia="Times New Roman" w:hAnsi="Calibri" w:cs="Calibri"/>
                <w:sz w:val="22"/>
                <w:highlight w:val="green"/>
                <w:lang w:val="en-GB"/>
              </w:rPr>
            </w:pPr>
            <w:r w:rsidRPr="00E05E57">
              <w:rPr>
                <w:rFonts w:eastAsia="Times New Roman" w:cs="Times New Roman"/>
                <w:szCs w:val="20"/>
                <w:highlight w:val="green"/>
                <w:lang w:val="en-GB"/>
              </w:rPr>
              <w:t>Agreement:</w:t>
            </w:r>
          </w:p>
          <w:p w14:paraId="546F8AB7" w14:textId="77777777" w:rsidR="00E05E57" w:rsidRPr="004A6291" w:rsidRDefault="00E05E57" w:rsidP="00E05E57">
            <w:pPr>
              <w:numPr>
                <w:ilvl w:val="1"/>
                <w:numId w:val="37"/>
              </w:numPr>
              <w:spacing w:after="180"/>
              <w:textAlignment w:val="center"/>
              <w:rPr>
                <w:rFonts w:ascii="Calibri" w:eastAsia="Times New Roman" w:hAnsi="Calibri" w:cs="Calibri"/>
                <w:sz w:val="22"/>
                <w:lang w:val="en-GB"/>
              </w:rPr>
            </w:pPr>
            <w:r w:rsidRPr="004A6291">
              <w:rPr>
                <w:rFonts w:eastAsia="Times New Roman" w:cs="Times New Roman"/>
                <w:szCs w:val="20"/>
                <w:lang w:val="en-GB"/>
              </w:rPr>
              <w:t xml:space="preserve">the existing requirement for active TCI state list update can be reused with the update that it is for each new TCI state being </w:t>
            </w:r>
            <w:proofErr w:type="gramStart"/>
            <w:r w:rsidRPr="004A6291">
              <w:rPr>
                <w:rFonts w:eastAsia="Times New Roman" w:cs="Times New Roman"/>
                <w:szCs w:val="20"/>
                <w:lang w:val="en-GB"/>
              </w:rPr>
              <w:t>added</w:t>
            </w:r>
            <w:proofErr w:type="gramEnd"/>
          </w:p>
          <w:p w14:paraId="562981CB" w14:textId="77777777" w:rsidR="00E05E57" w:rsidRPr="004F0CB3" w:rsidRDefault="00E05E57" w:rsidP="00E505FD">
            <w:pPr>
              <w:rPr>
                <w:lang w:val="en-GB"/>
              </w:rPr>
            </w:pPr>
          </w:p>
        </w:tc>
      </w:tr>
    </w:tbl>
    <w:p w14:paraId="730EA214" w14:textId="77777777" w:rsidR="00E05E57" w:rsidRDefault="00E05E57" w:rsidP="00E05E57">
      <w:pPr>
        <w:rPr>
          <w:lang w:val="en-GB"/>
        </w:rPr>
      </w:pPr>
    </w:p>
    <w:p w14:paraId="136CDA25" w14:textId="77777777" w:rsidR="00E05E57" w:rsidRDefault="00E05E57" w:rsidP="00E05E57">
      <w:pPr>
        <w:pStyle w:val="paragraph"/>
        <w:spacing w:before="0" w:beforeAutospacing="0" w:after="0" w:afterAutospacing="0"/>
        <w:jc w:val="both"/>
        <w:textAlignment w:val="baseline"/>
        <w:rPr>
          <w:rStyle w:val="eop"/>
          <w:sz w:val="20"/>
          <w:szCs w:val="20"/>
        </w:rPr>
      </w:pPr>
      <w:r>
        <w:rPr>
          <w:rStyle w:val="normaltextrun"/>
          <w:sz w:val="20"/>
          <w:szCs w:val="20"/>
        </w:rPr>
        <w:t>In addition to the above agreement, for cases where the target TCI state is not a part of the active TCI state list, if the reference signals of the TCI states received in the MAC-CE command for TCI activation have a QCL relation with the reference signal of the TCI states already present in the active TCI state list, then there is no further need for synchronization for that TCI state.</w:t>
      </w:r>
      <w:r>
        <w:rPr>
          <w:rStyle w:val="eop"/>
          <w:sz w:val="20"/>
          <w:szCs w:val="20"/>
        </w:rPr>
        <w:t> </w:t>
      </w:r>
    </w:p>
    <w:p w14:paraId="51F9811A" w14:textId="77777777" w:rsidR="00E05E57" w:rsidRDefault="00E05E57" w:rsidP="00E05E57">
      <w:pPr>
        <w:pStyle w:val="paragraph"/>
        <w:spacing w:before="0" w:beforeAutospacing="0" w:after="0" w:afterAutospacing="0"/>
        <w:jc w:val="both"/>
        <w:textAlignment w:val="baseline"/>
        <w:rPr>
          <w:sz w:val="20"/>
          <w:szCs w:val="20"/>
        </w:rPr>
      </w:pPr>
    </w:p>
    <w:p w14:paraId="6BDA9D1B" w14:textId="77777777" w:rsidR="00E05E57" w:rsidRPr="00DF1E1D" w:rsidRDefault="00E05E57" w:rsidP="00E05E57">
      <w:pPr>
        <w:pStyle w:val="RAN4proposal"/>
        <w:ind w:left="0" w:firstLine="0"/>
      </w:pPr>
      <w:bookmarkStart w:id="12" w:name="_Toc149906464"/>
      <w:r w:rsidRPr="00DF1E1D">
        <w:rPr>
          <w:rStyle w:val="normaltextrun"/>
          <w:szCs w:val="20"/>
        </w:rPr>
        <w:t>If the reference signals of the TCI states received in the MAC-CE for TCI state activation has QCL relation with the reference signal of the TCI state which is already a part of the active TCI state list, the UE can skip synchronization with the first SSB for that TCI state.</w:t>
      </w:r>
      <w:bookmarkEnd w:id="12"/>
      <w:r w:rsidRPr="00DF1E1D">
        <w:rPr>
          <w:rStyle w:val="eop"/>
          <w:szCs w:val="20"/>
        </w:rPr>
        <w:t> </w:t>
      </w:r>
    </w:p>
    <w:p w14:paraId="2E58B410" w14:textId="77777777" w:rsidR="00E05E57" w:rsidRDefault="00E05E57" w:rsidP="00E05E57">
      <w:pPr>
        <w:pStyle w:val="RAN4H1"/>
        <w:jc w:val="both"/>
      </w:pPr>
      <w:r w:rsidRPr="00470894">
        <w:rPr>
          <w:noProof/>
        </w:rPr>
        <w:lastRenderedPageBreak/>
        <mc:AlternateContent>
          <mc:Choice Requires="wps">
            <w:drawing>
              <wp:anchor distT="45720" distB="45720" distL="114300" distR="114300" simplePos="0" relativeHeight="251659264" behindDoc="0" locked="0" layoutInCell="1" allowOverlap="1" wp14:anchorId="3997C07A" wp14:editId="0DBFE276">
                <wp:simplePos x="0" y="0"/>
                <wp:positionH relativeFrom="column">
                  <wp:posOffset>260350</wp:posOffset>
                </wp:positionH>
                <wp:positionV relativeFrom="paragraph">
                  <wp:posOffset>558800</wp:posOffset>
                </wp:positionV>
                <wp:extent cx="5994400" cy="1314450"/>
                <wp:effectExtent l="0" t="0" r="25400" b="19050"/>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4400" cy="1314450"/>
                        </a:xfrm>
                        <a:prstGeom prst="rect">
                          <a:avLst/>
                        </a:prstGeom>
                        <a:solidFill>
                          <a:srgbClr val="FFFFFF"/>
                        </a:solidFill>
                        <a:ln w="9525">
                          <a:solidFill>
                            <a:srgbClr val="000000"/>
                          </a:solidFill>
                          <a:miter lim="800000"/>
                          <a:headEnd/>
                          <a:tailEnd/>
                        </a:ln>
                      </wps:spPr>
                      <wps:txbx>
                        <w:txbxContent>
                          <w:p w14:paraId="5EBE061D" w14:textId="77777777" w:rsidR="00E05E57" w:rsidRPr="00537577" w:rsidRDefault="00E05E57" w:rsidP="00E05E57">
                            <w:pPr>
                              <w:pStyle w:val="NormalWeb"/>
                              <w:spacing w:before="120" w:beforeAutospacing="0" w:after="180" w:afterAutospacing="0"/>
                              <w:rPr>
                                <w:rFonts w:ascii="Arial" w:hAnsi="Arial" w:cs="Arial"/>
                                <w:color w:val="000000" w:themeColor="text1"/>
                                <w:sz w:val="28"/>
                                <w:szCs w:val="28"/>
                              </w:rPr>
                            </w:pPr>
                            <w:r w:rsidRPr="00537577">
                              <w:rPr>
                                <w:rFonts w:ascii="Arial" w:hAnsi="Arial" w:cs="Arial"/>
                                <w:color w:val="000000" w:themeColor="text1"/>
                                <w:sz w:val="28"/>
                                <w:szCs w:val="28"/>
                              </w:rPr>
                              <w:t xml:space="preserve">Sub-topic 2-5: Known conditions </w:t>
                            </w:r>
                          </w:p>
                          <w:p w14:paraId="3AFD7402" w14:textId="77777777" w:rsidR="00E05E57" w:rsidRPr="00537577" w:rsidRDefault="00E05E57" w:rsidP="00E05E57">
                            <w:pPr>
                              <w:spacing w:after="180" w:line="240" w:lineRule="auto"/>
                              <w:rPr>
                                <w:rFonts w:eastAsia="Times New Roman" w:cs="Times New Roman"/>
                                <w:color w:val="000000" w:themeColor="text1"/>
                                <w:szCs w:val="20"/>
                                <w:lang w:val="en-GB"/>
                              </w:rPr>
                            </w:pPr>
                            <w:r w:rsidRPr="00537577">
                              <w:rPr>
                                <w:rFonts w:eastAsia="Times New Roman" w:cs="Times New Roman"/>
                                <w:b/>
                                <w:bCs/>
                                <w:color w:val="000000" w:themeColor="text1"/>
                                <w:szCs w:val="20"/>
                                <w:u w:val="single"/>
                                <w:lang w:val="en-GB"/>
                              </w:rPr>
                              <w:t xml:space="preserve">Issue 2-5-2: Definition of known condition </w:t>
                            </w:r>
                          </w:p>
                          <w:p w14:paraId="285832AA" w14:textId="77777777" w:rsidR="00E05E57" w:rsidRPr="00537577" w:rsidRDefault="00E05E57" w:rsidP="00E05E57">
                            <w:pPr>
                              <w:numPr>
                                <w:ilvl w:val="0"/>
                                <w:numId w:val="38"/>
                              </w:numPr>
                              <w:tabs>
                                <w:tab w:val="clear" w:pos="720"/>
                                <w:tab w:val="num" w:pos="180"/>
                              </w:tabs>
                              <w:spacing w:after="120" w:line="240" w:lineRule="auto"/>
                              <w:ind w:left="180"/>
                              <w:textAlignment w:val="center"/>
                              <w:rPr>
                                <w:rFonts w:ascii="Calibri" w:eastAsia="Times New Roman" w:hAnsi="Calibri" w:cs="Calibri"/>
                                <w:color w:val="000000" w:themeColor="text1"/>
                                <w:sz w:val="22"/>
                                <w:lang w:val="en-GB"/>
                              </w:rPr>
                            </w:pPr>
                            <w:r w:rsidRPr="00537577">
                              <w:rPr>
                                <w:rFonts w:eastAsia="Times New Roman" w:cs="Times New Roman"/>
                                <w:color w:val="000000" w:themeColor="text1"/>
                                <w:szCs w:val="20"/>
                                <w:lang w:val="en-GB"/>
                              </w:rPr>
                              <w:t xml:space="preserve">Way forward: Companies are requested to bring further analysis if the previous agreement </w:t>
                            </w:r>
                            <w:proofErr w:type="gramStart"/>
                            <w:r w:rsidRPr="00537577">
                              <w:rPr>
                                <w:rFonts w:eastAsia="Times New Roman" w:cs="Times New Roman"/>
                                <w:color w:val="000000" w:themeColor="text1"/>
                                <w:szCs w:val="20"/>
                                <w:lang w:val="en-GB"/>
                              </w:rPr>
                              <w:t>are</w:t>
                            </w:r>
                            <w:proofErr w:type="gramEnd"/>
                            <w:r w:rsidRPr="00537577">
                              <w:rPr>
                                <w:rFonts w:eastAsia="Times New Roman" w:cs="Times New Roman"/>
                                <w:color w:val="000000" w:themeColor="text1"/>
                                <w:szCs w:val="20"/>
                                <w:lang w:val="en-GB"/>
                              </w:rPr>
                              <w:t xml:space="preserve"> identified to be not sufficient.</w:t>
                            </w:r>
                          </w:p>
                          <w:p w14:paraId="5A9C779A" w14:textId="77777777" w:rsidR="00E05E57" w:rsidRDefault="00E05E57" w:rsidP="00E05E5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997C07A" id="_x0000_t202" coordsize="21600,21600" o:spt="202" path="m,l,21600r21600,l21600,xe">
                <v:stroke joinstyle="miter"/>
                <v:path gradientshapeok="t" o:connecttype="rect"/>
              </v:shapetype>
              <v:shape id="Text Box 217" o:spid="_x0000_s1026" type="#_x0000_t202" style="position:absolute;left:0;text-align:left;margin-left:20.5pt;margin-top:44pt;width:472pt;height:103.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">
                <v:textbox>
                  <w:txbxContent>
                    <w:p w14:paraId="5EBE061D" w14:textId="77777777" w:rsidR="00E05E57" w:rsidRPr="00537577" w:rsidRDefault="00E05E57" w:rsidP="00E05E57">
                      <w:pPr>
                        <w:pStyle w:val="NormalWeb"/>
                        <w:spacing w:before="120" w:beforeAutospacing="0" w:after="180" w:afterAutospacing="0"/>
                        <w:rPr>
                          <w:rFonts w:ascii="Arial" w:hAnsi="Arial" w:cs="Arial"/>
                          <w:color w:val="000000" w:themeColor="text1"/>
                          <w:sz w:val="28"/>
                          <w:szCs w:val="28"/>
                        </w:rPr>
                      </w:pPr>
                      <w:r w:rsidRPr="00537577">
                        <w:rPr>
                          <w:rFonts w:ascii="Arial" w:hAnsi="Arial" w:cs="Arial"/>
                          <w:color w:val="000000" w:themeColor="text1"/>
                          <w:sz w:val="28"/>
                          <w:szCs w:val="28"/>
                        </w:rPr>
                        <w:t xml:space="preserve">Sub-topic 2-5: Known conditions </w:t>
                      </w:r>
                    </w:p>
                    <w:p w14:paraId="3AFD7402" w14:textId="77777777" w:rsidR="00E05E57" w:rsidRPr="00537577" w:rsidRDefault="00E05E57" w:rsidP="00E05E57">
                      <w:pPr>
                        <w:spacing w:after="180" w:line="240" w:lineRule="auto"/>
                        <w:rPr>
                          <w:rFonts w:eastAsia="Times New Roman" w:cs="Times New Roman"/>
                          <w:color w:val="000000" w:themeColor="text1"/>
                          <w:szCs w:val="20"/>
                          <w:lang w:val="en-GB"/>
                        </w:rPr>
                      </w:pPr>
                      <w:r w:rsidRPr="00537577">
                        <w:rPr>
                          <w:rFonts w:eastAsia="Times New Roman" w:cs="Times New Roman"/>
                          <w:b/>
                          <w:bCs/>
                          <w:color w:val="000000" w:themeColor="text1"/>
                          <w:szCs w:val="20"/>
                          <w:u w:val="single"/>
                          <w:lang w:val="en-GB"/>
                        </w:rPr>
                        <w:t xml:space="preserve">Issue 2-5-2: Definition of known condition </w:t>
                      </w:r>
                    </w:p>
                    <w:p w14:paraId="285832AA" w14:textId="77777777" w:rsidR="00E05E57" w:rsidRPr="00537577" w:rsidRDefault="00E05E57" w:rsidP="00E05E57">
                      <w:pPr>
                        <w:numPr>
                          <w:ilvl w:val="0"/>
                          <w:numId w:val="38"/>
                        </w:numPr>
                        <w:tabs>
                          <w:tab w:val="clear" w:pos="720"/>
                          <w:tab w:val="num" w:pos="180"/>
                        </w:tabs>
                        <w:spacing w:after="120" w:line="240" w:lineRule="auto"/>
                        <w:ind w:left="180"/>
                        <w:textAlignment w:val="center"/>
                        <w:rPr>
                          <w:rFonts w:ascii="Calibri" w:eastAsia="Times New Roman" w:hAnsi="Calibri" w:cs="Calibri"/>
                          <w:color w:val="000000" w:themeColor="text1"/>
                          <w:sz w:val="22"/>
                          <w:lang w:val="en-GB"/>
                        </w:rPr>
                      </w:pPr>
                      <w:r w:rsidRPr="00537577">
                        <w:rPr>
                          <w:rFonts w:eastAsia="Times New Roman" w:cs="Times New Roman"/>
                          <w:color w:val="000000" w:themeColor="text1"/>
                          <w:szCs w:val="20"/>
                          <w:lang w:val="en-GB"/>
                        </w:rPr>
                        <w:t xml:space="preserve">Way forward: Companies are requested to bring further analysis if the previous agreement </w:t>
                      </w:r>
                      <w:proofErr w:type="gramStart"/>
                      <w:r w:rsidRPr="00537577">
                        <w:rPr>
                          <w:rFonts w:eastAsia="Times New Roman" w:cs="Times New Roman"/>
                          <w:color w:val="000000" w:themeColor="text1"/>
                          <w:szCs w:val="20"/>
                          <w:lang w:val="en-GB"/>
                        </w:rPr>
                        <w:t>are</w:t>
                      </w:r>
                      <w:proofErr w:type="gramEnd"/>
                      <w:r w:rsidRPr="00537577">
                        <w:rPr>
                          <w:rFonts w:eastAsia="Times New Roman" w:cs="Times New Roman"/>
                          <w:color w:val="000000" w:themeColor="text1"/>
                          <w:szCs w:val="20"/>
                          <w:lang w:val="en-GB"/>
                        </w:rPr>
                        <w:t xml:space="preserve"> identified to be not sufficient.</w:t>
                      </w:r>
                    </w:p>
                    <w:p w14:paraId="5A9C779A" w14:textId="77777777" w:rsidR="00E05E57" w:rsidRDefault="00E05E57" w:rsidP="00E05E57"/>
                  </w:txbxContent>
                </v:textbox>
                <w10:wrap type="square"/>
              </v:shape>
            </w:pict>
          </mc:Fallback>
        </mc:AlternateContent>
      </w:r>
      <w:r>
        <w:t xml:space="preserve">Known TCI </w:t>
      </w:r>
      <w:r w:rsidRPr="00D114CE">
        <w:t>state</w:t>
      </w:r>
      <w:r>
        <w:t xml:space="preserve"> </w:t>
      </w:r>
      <w:proofErr w:type="gramStart"/>
      <w:r>
        <w:t>condition</w:t>
      </w:r>
      <w:proofErr w:type="gramEnd"/>
    </w:p>
    <w:p w14:paraId="1C00A321" w14:textId="77777777" w:rsidR="00E05E57" w:rsidRDefault="00E05E57" w:rsidP="00E05E57">
      <w:pPr>
        <w:rPr>
          <w:lang w:val="en-GB"/>
        </w:rPr>
      </w:pPr>
      <w:r w:rsidRPr="0060586A">
        <w:rPr>
          <w:noProof/>
          <w:lang w:val="en-GB"/>
        </w:rPr>
        <mc:AlternateContent>
          <mc:Choice Requires="wps">
            <w:drawing>
              <wp:anchor distT="45720" distB="45720" distL="114300" distR="114300" simplePos="0" relativeHeight="251660288" behindDoc="0" locked="0" layoutInCell="1" allowOverlap="1" wp14:anchorId="155F900D" wp14:editId="240FBF9C">
                <wp:simplePos x="0" y="0"/>
                <wp:positionH relativeFrom="column">
                  <wp:posOffset>277495</wp:posOffset>
                </wp:positionH>
                <wp:positionV relativeFrom="paragraph">
                  <wp:posOffset>1873250</wp:posOffset>
                </wp:positionV>
                <wp:extent cx="5975350" cy="1398905"/>
                <wp:effectExtent l="0" t="0" r="25400" b="10795"/>
                <wp:wrapSquare wrapText="bothSides"/>
                <wp:docPr id="258049346" name="Text Box 2580493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5350" cy="1398905"/>
                        </a:xfrm>
                        <a:prstGeom prst="rect">
                          <a:avLst/>
                        </a:prstGeom>
                        <a:solidFill>
                          <a:srgbClr val="FFFFFF"/>
                        </a:solidFill>
                        <a:ln w="9525">
                          <a:solidFill>
                            <a:srgbClr val="000000"/>
                          </a:solidFill>
                          <a:miter lim="800000"/>
                          <a:headEnd/>
                          <a:tailEnd/>
                        </a:ln>
                      </wps:spPr>
                      <wps:txbx>
                        <w:txbxContent>
                          <w:p w14:paraId="3F9307C0" w14:textId="77777777" w:rsidR="00E05E57" w:rsidRPr="00E05E57" w:rsidRDefault="00E05E57" w:rsidP="00E05E57">
                            <w:pPr>
                              <w:pStyle w:val="pf0"/>
                              <w:spacing w:before="0" w:beforeAutospacing="0" w:after="0" w:afterAutospacing="0"/>
                              <w:rPr>
                                <w:sz w:val="20"/>
                                <w:szCs w:val="20"/>
                                <w:lang w:val="en"/>
                              </w:rPr>
                            </w:pPr>
                            <w:r w:rsidRPr="00E05E57">
                              <w:rPr>
                                <w:rStyle w:val="cf01"/>
                                <w:rFonts w:ascii="Times New Roman" w:hAnsi="Times New Roman" w:cs="Times New Roman"/>
                                <w:color w:val="auto"/>
                                <w:sz w:val="20"/>
                                <w:szCs w:val="20"/>
                                <w:lang w:val="en"/>
                              </w:rPr>
                              <w:t>T</w:t>
                            </w:r>
                            <w:r w:rsidRPr="00E05E57">
                              <w:rPr>
                                <w:rStyle w:val="cf11"/>
                                <w:rFonts w:ascii="Times New Roman" w:hAnsi="Times New Roman" w:cs="Times New Roman"/>
                                <w:color w:val="auto"/>
                                <w:sz w:val="20"/>
                                <w:szCs w:val="20"/>
                                <w:lang w:val="en"/>
                              </w:rPr>
                              <w:t>he dual TCI state are known if the following conditions are met:</w:t>
                            </w:r>
                          </w:p>
                          <w:p w14:paraId="069D275F" w14:textId="77777777" w:rsidR="00E05E57" w:rsidRPr="00E05E57" w:rsidRDefault="00E05E57" w:rsidP="00E05E57">
                            <w:pPr>
                              <w:pStyle w:val="pf1"/>
                              <w:spacing w:before="0" w:beforeAutospacing="0" w:after="0" w:afterAutospacing="0"/>
                              <w:ind w:left="0"/>
                              <w:rPr>
                                <w:rStyle w:val="cf11"/>
                                <w:rFonts w:ascii="Times New Roman" w:hAnsi="Times New Roman" w:cs="Times New Roman"/>
                                <w:color w:val="auto"/>
                                <w:sz w:val="20"/>
                                <w:szCs w:val="20"/>
                                <w:lang w:val="en"/>
                              </w:rPr>
                            </w:pPr>
                            <w:r w:rsidRPr="00E05E57">
                              <w:rPr>
                                <w:rStyle w:val="cf11"/>
                                <w:rFonts w:ascii="Times New Roman" w:hAnsi="Times New Roman" w:cs="Times New Roman"/>
                                <w:color w:val="auto"/>
                                <w:sz w:val="20"/>
                                <w:szCs w:val="20"/>
                                <w:lang w:val="en"/>
                              </w:rPr>
                              <w:t>-</w:t>
                            </w:r>
                            <w:r w:rsidRPr="00E05E57">
                              <w:rPr>
                                <w:rStyle w:val="cf11"/>
                                <w:rFonts w:ascii="Times New Roman" w:hAnsi="Times New Roman" w:cs="Times New Roman"/>
                                <w:color w:val="auto"/>
                                <w:sz w:val="20"/>
                                <w:szCs w:val="20"/>
                                <w:lang w:val="en"/>
                              </w:rPr>
                              <w:tab/>
                              <w:t xml:space="preserve">Dual TCI states are QCL-ed with </w:t>
                            </w:r>
                            <w:proofErr w:type="spellStart"/>
                            <w:r w:rsidRPr="00E05E57">
                              <w:rPr>
                                <w:rStyle w:val="cf11"/>
                                <w:rFonts w:ascii="Times New Roman" w:hAnsi="Times New Roman" w:cs="Times New Roman"/>
                                <w:color w:val="auto"/>
                                <w:sz w:val="20"/>
                                <w:szCs w:val="20"/>
                                <w:lang w:val="en"/>
                              </w:rPr>
                              <w:t>typeD</w:t>
                            </w:r>
                            <w:proofErr w:type="spellEnd"/>
                            <w:r w:rsidRPr="00E05E57">
                              <w:rPr>
                                <w:rStyle w:val="cf11"/>
                                <w:rFonts w:ascii="Times New Roman" w:hAnsi="Times New Roman" w:cs="Times New Roman"/>
                                <w:color w:val="auto"/>
                                <w:sz w:val="20"/>
                                <w:szCs w:val="20"/>
                                <w:lang w:val="en"/>
                              </w:rPr>
                              <w:t xml:space="preserve"> to </w:t>
                            </w:r>
                            <w:r w:rsidRPr="00E05E57">
                              <w:rPr>
                                <w:rStyle w:val="cf31"/>
                                <w:rFonts w:ascii="Times New Roman" w:eastAsia="Calibri" w:hAnsi="Times New Roman" w:cs="Times New Roman"/>
                                <w:color w:val="auto"/>
                                <w:sz w:val="20"/>
                                <w:szCs w:val="20"/>
                                <w:lang w:val="en"/>
                              </w:rPr>
                              <w:t xml:space="preserve">the latest </w:t>
                            </w:r>
                            <w:r w:rsidRPr="00E05E57">
                              <w:rPr>
                                <w:rStyle w:val="cf11"/>
                                <w:rFonts w:ascii="Times New Roman" w:hAnsi="Times New Roman" w:cs="Times New Roman"/>
                                <w:color w:val="auto"/>
                                <w:sz w:val="20"/>
                                <w:szCs w:val="20"/>
                                <w:lang w:val="en"/>
                              </w:rPr>
                              <w:t>reported beam pair (i.e., RS resources pair) within one group-</w:t>
                            </w:r>
                            <w:r w:rsidRPr="00E05E57">
                              <w:rPr>
                                <w:rStyle w:val="cf11"/>
                                <w:rFonts w:ascii="Times New Roman" w:hAnsi="Times New Roman" w:cs="Times New Roman"/>
                                <w:color w:val="auto"/>
                                <w:sz w:val="20"/>
                                <w:szCs w:val="20"/>
                                <w:lang w:val="en"/>
                              </w:rPr>
                              <w:tab/>
                            </w:r>
                          </w:p>
                          <w:p w14:paraId="55FC1A16" w14:textId="77777777" w:rsidR="00E05E57" w:rsidRPr="00E05E57" w:rsidRDefault="00E05E57" w:rsidP="00E05E57">
                            <w:pPr>
                              <w:pStyle w:val="pf1"/>
                              <w:spacing w:before="0" w:beforeAutospacing="0" w:after="0" w:afterAutospacing="0"/>
                              <w:ind w:left="0"/>
                              <w:rPr>
                                <w:sz w:val="20"/>
                                <w:szCs w:val="20"/>
                                <w:lang w:val="en"/>
                              </w:rPr>
                            </w:pPr>
                            <w:r w:rsidRPr="00E05E57">
                              <w:rPr>
                                <w:rStyle w:val="cf11"/>
                                <w:rFonts w:ascii="Times New Roman" w:hAnsi="Times New Roman" w:cs="Times New Roman"/>
                                <w:color w:val="auto"/>
                                <w:sz w:val="20"/>
                                <w:szCs w:val="20"/>
                                <w:lang w:val="en"/>
                              </w:rPr>
                              <w:t xml:space="preserve">The dual TCI states and all the RSs in the two QCL chains remain detectable during the TCI state switching </w:t>
                            </w:r>
                            <w:proofErr w:type="gramStart"/>
                            <w:r w:rsidRPr="00E05E57">
                              <w:rPr>
                                <w:rStyle w:val="cf11"/>
                                <w:rFonts w:ascii="Times New Roman" w:hAnsi="Times New Roman" w:cs="Times New Roman"/>
                                <w:color w:val="auto"/>
                                <w:sz w:val="20"/>
                                <w:szCs w:val="20"/>
                                <w:lang w:val="en"/>
                              </w:rPr>
                              <w:t>period</w:t>
                            </w:r>
                            <w:proofErr w:type="gramEnd"/>
                          </w:p>
                          <w:p w14:paraId="4381AF22" w14:textId="77777777" w:rsidR="00E05E57" w:rsidRPr="00E05E57" w:rsidRDefault="00E05E57" w:rsidP="00E05E57">
                            <w:pPr>
                              <w:pStyle w:val="pf2"/>
                              <w:spacing w:before="0" w:beforeAutospacing="0" w:after="0" w:afterAutospacing="0"/>
                              <w:ind w:left="560"/>
                              <w:rPr>
                                <w:sz w:val="20"/>
                                <w:szCs w:val="20"/>
                                <w:lang w:val="en"/>
                              </w:rPr>
                            </w:pPr>
                            <w:r w:rsidRPr="00E05E57">
                              <w:rPr>
                                <w:rStyle w:val="cf11"/>
                                <w:rFonts w:ascii="Times New Roman" w:hAnsi="Times New Roman" w:cs="Times New Roman"/>
                                <w:color w:val="auto"/>
                                <w:sz w:val="20"/>
                                <w:szCs w:val="20"/>
                                <w:lang w:val="en"/>
                              </w:rPr>
                              <w:t>-</w:t>
                            </w:r>
                            <w:r w:rsidRPr="00E05E57">
                              <w:rPr>
                                <w:rStyle w:val="cf11"/>
                                <w:rFonts w:ascii="Times New Roman" w:hAnsi="Times New Roman" w:cs="Times New Roman"/>
                                <w:color w:val="auto"/>
                                <w:sz w:val="20"/>
                                <w:szCs w:val="20"/>
                                <w:lang w:val="en"/>
                              </w:rPr>
                              <w:tab/>
                              <w:t xml:space="preserve">SNR of the TCI state </w:t>
                            </w:r>
                            <w:r w:rsidRPr="00E05E57">
                              <w:rPr>
                                <w:rStyle w:val="cf41"/>
                                <w:rFonts w:ascii="Times New Roman" w:hAnsi="Times New Roman" w:cs="Times New Roman"/>
                                <w:color w:val="auto"/>
                                <w:sz w:val="20"/>
                                <w:szCs w:val="20"/>
                                <w:lang w:val="en"/>
                              </w:rPr>
                              <w:t>≥</w:t>
                            </w:r>
                            <w:r w:rsidRPr="00E05E57">
                              <w:rPr>
                                <w:rStyle w:val="cf11"/>
                                <w:rFonts w:ascii="Times New Roman" w:hAnsi="Times New Roman" w:cs="Times New Roman"/>
                                <w:color w:val="auto"/>
                                <w:sz w:val="20"/>
                                <w:szCs w:val="20"/>
                                <w:lang w:val="en"/>
                              </w:rPr>
                              <w:t xml:space="preserve"> -3dB</w:t>
                            </w:r>
                          </w:p>
                          <w:p w14:paraId="61288FD4" w14:textId="77777777" w:rsidR="00E05E57" w:rsidRPr="00E05E57" w:rsidRDefault="00E05E57" w:rsidP="00E05E57">
                            <w:pPr>
                              <w:pStyle w:val="pf1"/>
                              <w:spacing w:before="0" w:beforeAutospacing="0" w:after="0" w:afterAutospacing="0"/>
                              <w:ind w:left="0"/>
                              <w:rPr>
                                <w:sz w:val="20"/>
                                <w:szCs w:val="20"/>
                                <w:lang w:val="en"/>
                              </w:rPr>
                            </w:pPr>
                            <w:r w:rsidRPr="00E05E57">
                              <w:rPr>
                                <w:rStyle w:val="cf11"/>
                                <w:rFonts w:ascii="Times New Roman" w:hAnsi="Times New Roman" w:cs="Times New Roman"/>
                                <w:color w:val="auto"/>
                                <w:sz w:val="20"/>
                                <w:szCs w:val="20"/>
                                <w:lang w:val="en"/>
                              </w:rPr>
                              <w:t>-</w:t>
                            </w:r>
                            <w:r w:rsidRPr="00E05E57">
                              <w:rPr>
                                <w:rStyle w:val="cf11"/>
                                <w:rFonts w:ascii="Times New Roman" w:hAnsi="Times New Roman" w:cs="Times New Roman"/>
                                <w:color w:val="auto"/>
                                <w:sz w:val="20"/>
                                <w:szCs w:val="20"/>
                                <w:lang w:val="en"/>
                              </w:rPr>
                              <w:tab/>
                              <w:t>RS resource pair configured for dual TCI states is reported in last [1280]ms</w:t>
                            </w:r>
                          </w:p>
                          <w:p w14:paraId="6C22A81B" w14:textId="77777777" w:rsidR="00E05E57" w:rsidRPr="00E05E57" w:rsidRDefault="00E05E57" w:rsidP="00E05E57">
                            <w:pPr>
                              <w:pStyle w:val="pf0"/>
                              <w:spacing w:before="0" w:beforeAutospacing="0" w:after="0" w:afterAutospacing="0"/>
                              <w:rPr>
                                <w:sz w:val="20"/>
                                <w:szCs w:val="20"/>
                                <w:lang w:val="en"/>
                              </w:rPr>
                            </w:pPr>
                            <w:r w:rsidRPr="00E05E57">
                              <w:rPr>
                                <w:rStyle w:val="cf31"/>
                                <w:rFonts w:ascii="Times New Roman" w:eastAsia="Calibri" w:hAnsi="Times New Roman" w:cs="Times New Roman"/>
                                <w:color w:val="auto"/>
                                <w:sz w:val="20"/>
                                <w:szCs w:val="20"/>
                                <w:lang w:val="en"/>
                              </w:rPr>
                              <w:t xml:space="preserve">Editor’s </w:t>
                            </w:r>
                            <w:proofErr w:type="spellStart"/>
                            <w:r w:rsidRPr="00E05E57">
                              <w:rPr>
                                <w:rStyle w:val="cf31"/>
                                <w:rFonts w:ascii="Times New Roman" w:eastAsia="Calibri" w:hAnsi="Times New Roman" w:cs="Times New Roman"/>
                                <w:color w:val="auto"/>
                                <w:sz w:val="20"/>
                                <w:szCs w:val="20"/>
                                <w:lang w:val="en"/>
                              </w:rPr>
                              <w:t>n</w:t>
                            </w:r>
                            <w:r w:rsidRPr="00E05E57">
                              <w:rPr>
                                <w:rStyle w:val="cf11"/>
                                <w:rFonts w:ascii="Times New Roman" w:hAnsi="Times New Roman" w:cs="Times New Roman"/>
                                <w:color w:val="auto"/>
                                <w:sz w:val="20"/>
                                <w:szCs w:val="20"/>
                                <w:lang w:val="en"/>
                              </w:rPr>
                              <w:t>Note</w:t>
                            </w:r>
                            <w:proofErr w:type="spellEnd"/>
                            <w:r w:rsidRPr="00E05E57">
                              <w:rPr>
                                <w:rStyle w:val="cf11"/>
                                <w:rFonts w:ascii="Times New Roman" w:hAnsi="Times New Roman" w:cs="Times New Roman"/>
                                <w:color w:val="auto"/>
                                <w:sz w:val="20"/>
                                <w:szCs w:val="20"/>
                                <w:lang w:val="en"/>
                              </w:rPr>
                              <w:t>: FFS whether additional conditions are needed for tests.</w:t>
                            </w:r>
                          </w:p>
                          <w:p w14:paraId="089809D3" w14:textId="77777777" w:rsidR="00E05E57" w:rsidRDefault="00E05E57" w:rsidP="00E05E5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5F900D" id="Text Box 258049346" o:spid="_x0000_s1027" type="#_x0000_t202" style="position:absolute;margin-left:21.85pt;margin-top:147.5pt;width:470.5pt;height:110.1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">
                <v:textbox>
                  <w:txbxContent>
                    <w:p w14:paraId="3F9307C0" w14:textId="77777777" w:rsidR="00E05E57" w:rsidRPr="00E05E57" w:rsidRDefault="00E05E57" w:rsidP="00E05E57">
                      <w:pPr>
                        <w:pStyle w:val="pf0"/>
                        <w:spacing w:before="0" w:beforeAutospacing="0" w:after="0" w:afterAutospacing="0"/>
                        <w:rPr>
                          <w:sz w:val="20"/>
                          <w:szCs w:val="20"/>
                          <w:lang w:val="en"/>
                        </w:rPr>
                      </w:pPr>
                      <w:r w:rsidRPr="00E05E57">
                        <w:rPr>
                          <w:rStyle w:val="cf01"/>
                          <w:rFonts w:ascii="Times New Roman" w:hAnsi="Times New Roman" w:cs="Times New Roman"/>
                          <w:color w:val="auto"/>
                          <w:sz w:val="20"/>
                          <w:szCs w:val="20"/>
                          <w:lang w:val="en"/>
                        </w:rPr>
                        <w:t>T</w:t>
                      </w:r>
                      <w:r w:rsidRPr="00E05E57">
                        <w:rPr>
                          <w:rStyle w:val="cf11"/>
                          <w:rFonts w:ascii="Times New Roman" w:hAnsi="Times New Roman" w:cs="Times New Roman"/>
                          <w:color w:val="auto"/>
                          <w:sz w:val="20"/>
                          <w:szCs w:val="20"/>
                          <w:lang w:val="en"/>
                        </w:rPr>
                        <w:t>he dual TCI state are known if the following conditions are met:</w:t>
                      </w:r>
                    </w:p>
                    <w:p w14:paraId="069D275F" w14:textId="77777777" w:rsidR="00E05E57" w:rsidRPr="00E05E57" w:rsidRDefault="00E05E57" w:rsidP="00E05E57">
                      <w:pPr>
                        <w:pStyle w:val="pf1"/>
                        <w:spacing w:before="0" w:beforeAutospacing="0" w:after="0" w:afterAutospacing="0"/>
                        <w:ind w:left="0"/>
                        <w:rPr>
                          <w:rStyle w:val="cf11"/>
                          <w:rFonts w:ascii="Times New Roman" w:hAnsi="Times New Roman" w:cs="Times New Roman"/>
                          <w:color w:val="auto"/>
                          <w:sz w:val="20"/>
                          <w:szCs w:val="20"/>
                          <w:lang w:val="en"/>
                        </w:rPr>
                      </w:pPr>
                      <w:r w:rsidRPr="00E05E57">
                        <w:rPr>
                          <w:rStyle w:val="cf11"/>
                          <w:rFonts w:ascii="Times New Roman" w:hAnsi="Times New Roman" w:cs="Times New Roman"/>
                          <w:color w:val="auto"/>
                          <w:sz w:val="20"/>
                          <w:szCs w:val="20"/>
                          <w:lang w:val="en"/>
                        </w:rPr>
                        <w:t>-</w:t>
                      </w:r>
                      <w:r w:rsidRPr="00E05E57">
                        <w:rPr>
                          <w:rStyle w:val="cf11"/>
                          <w:rFonts w:ascii="Times New Roman" w:hAnsi="Times New Roman" w:cs="Times New Roman"/>
                          <w:color w:val="auto"/>
                          <w:sz w:val="20"/>
                          <w:szCs w:val="20"/>
                          <w:lang w:val="en"/>
                        </w:rPr>
                        <w:tab/>
                        <w:t xml:space="preserve">Dual TCI states are QCL-ed with </w:t>
                      </w:r>
                      <w:proofErr w:type="spellStart"/>
                      <w:r w:rsidRPr="00E05E57">
                        <w:rPr>
                          <w:rStyle w:val="cf11"/>
                          <w:rFonts w:ascii="Times New Roman" w:hAnsi="Times New Roman" w:cs="Times New Roman"/>
                          <w:color w:val="auto"/>
                          <w:sz w:val="20"/>
                          <w:szCs w:val="20"/>
                          <w:lang w:val="en"/>
                        </w:rPr>
                        <w:t>typeD</w:t>
                      </w:r>
                      <w:proofErr w:type="spellEnd"/>
                      <w:r w:rsidRPr="00E05E57">
                        <w:rPr>
                          <w:rStyle w:val="cf11"/>
                          <w:rFonts w:ascii="Times New Roman" w:hAnsi="Times New Roman" w:cs="Times New Roman"/>
                          <w:color w:val="auto"/>
                          <w:sz w:val="20"/>
                          <w:szCs w:val="20"/>
                          <w:lang w:val="en"/>
                        </w:rPr>
                        <w:t xml:space="preserve"> to </w:t>
                      </w:r>
                      <w:r w:rsidRPr="00E05E57">
                        <w:rPr>
                          <w:rStyle w:val="cf31"/>
                          <w:rFonts w:ascii="Times New Roman" w:eastAsia="Calibri" w:hAnsi="Times New Roman" w:cs="Times New Roman"/>
                          <w:color w:val="auto"/>
                          <w:sz w:val="20"/>
                          <w:szCs w:val="20"/>
                          <w:lang w:val="en"/>
                        </w:rPr>
                        <w:t xml:space="preserve">the latest </w:t>
                      </w:r>
                      <w:r w:rsidRPr="00E05E57">
                        <w:rPr>
                          <w:rStyle w:val="cf11"/>
                          <w:rFonts w:ascii="Times New Roman" w:hAnsi="Times New Roman" w:cs="Times New Roman"/>
                          <w:color w:val="auto"/>
                          <w:sz w:val="20"/>
                          <w:szCs w:val="20"/>
                          <w:lang w:val="en"/>
                        </w:rPr>
                        <w:t>reported beam pair (i.e., RS resources pair) within one group-</w:t>
                      </w:r>
                      <w:r w:rsidRPr="00E05E57">
                        <w:rPr>
                          <w:rStyle w:val="cf11"/>
                          <w:rFonts w:ascii="Times New Roman" w:hAnsi="Times New Roman" w:cs="Times New Roman"/>
                          <w:color w:val="auto"/>
                          <w:sz w:val="20"/>
                          <w:szCs w:val="20"/>
                          <w:lang w:val="en"/>
                        </w:rPr>
                        <w:tab/>
                      </w:r>
                    </w:p>
                    <w:p w14:paraId="55FC1A16" w14:textId="77777777" w:rsidR="00E05E57" w:rsidRPr="00E05E57" w:rsidRDefault="00E05E57" w:rsidP="00E05E57">
                      <w:pPr>
                        <w:pStyle w:val="pf1"/>
                        <w:spacing w:before="0" w:beforeAutospacing="0" w:after="0" w:afterAutospacing="0"/>
                        <w:ind w:left="0"/>
                        <w:rPr>
                          <w:sz w:val="20"/>
                          <w:szCs w:val="20"/>
                          <w:lang w:val="en"/>
                        </w:rPr>
                      </w:pPr>
                      <w:r w:rsidRPr="00E05E57">
                        <w:rPr>
                          <w:rStyle w:val="cf11"/>
                          <w:rFonts w:ascii="Times New Roman" w:hAnsi="Times New Roman" w:cs="Times New Roman"/>
                          <w:color w:val="auto"/>
                          <w:sz w:val="20"/>
                          <w:szCs w:val="20"/>
                          <w:lang w:val="en"/>
                        </w:rPr>
                        <w:t xml:space="preserve">The dual TCI states and all the RSs in the two QCL chains remain detectable during the TCI state switching </w:t>
                      </w:r>
                      <w:proofErr w:type="gramStart"/>
                      <w:r w:rsidRPr="00E05E57">
                        <w:rPr>
                          <w:rStyle w:val="cf11"/>
                          <w:rFonts w:ascii="Times New Roman" w:hAnsi="Times New Roman" w:cs="Times New Roman"/>
                          <w:color w:val="auto"/>
                          <w:sz w:val="20"/>
                          <w:szCs w:val="20"/>
                          <w:lang w:val="en"/>
                        </w:rPr>
                        <w:t>period</w:t>
                      </w:r>
                      <w:proofErr w:type="gramEnd"/>
                    </w:p>
                    <w:p w14:paraId="4381AF22" w14:textId="77777777" w:rsidR="00E05E57" w:rsidRPr="00E05E57" w:rsidRDefault="00E05E57" w:rsidP="00E05E57">
                      <w:pPr>
                        <w:pStyle w:val="pf2"/>
                        <w:spacing w:before="0" w:beforeAutospacing="0" w:after="0" w:afterAutospacing="0"/>
                        <w:ind w:left="560"/>
                        <w:rPr>
                          <w:sz w:val="20"/>
                          <w:szCs w:val="20"/>
                          <w:lang w:val="en"/>
                        </w:rPr>
                      </w:pPr>
                      <w:r w:rsidRPr="00E05E57">
                        <w:rPr>
                          <w:rStyle w:val="cf11"/>
                          <w:rFonts w:ascii="Times New Roman" w:hAnsi="Times New Roman" w:cs="Times New Roman"/>
                          <w:color w:val="auto"/>
                          <w:sz w:val="20"/>
                          <w:szCs w:val="20"/>
                          <w:lang w:val="en"/>
                        </w:rPr>
                        <w:t>-</w:t>
                      </w:r>
                      <w:r w:rsidRPr="00E05E57">
                        <w:rPr>
                          <w:rStyle w:val="cf11"/>
                          <w:rFonts w:ascii="Times New Roman" w:hAnsi="Times New Roman" w:cs="Times New Roman"/>
                          <w:color w:val="auto"/>
                          <w:sz w:val="20"/>
                          <w:szCs w:val="20"/>
                          <w:lang w:val="en"/>
                        </w:rPr>
                        <w:tab/>
                        <w:t xml:space="preserve">SNR of the TCI state </w:t>
                      </w:r>
                      <w:r w:rsidRPr="00E05E57">
                        <w:rPr>
                          <w:rStyle w:val="cf41"/>
                          <w:rFonts w:ascii="Times New Roman" w:hAnsi="Times New Roman" w:cs="Times New Roman"/>
                          <w:color w:val="auto"/>
                          <w:sz w:val="20"/>
                          <w:szCs w:val="20"/>
                          <w:lang w:val="en"/>
                        </w:rPr>
                        <w:t>≥</w:t>
                      </w:r>
                      <w:r w:rsidRPr="00E05E57">
                        <w:rPr>
                          <w:rStyle w:val="cf11"/>
                          <w:rFonts w:ascii="Times New Roman" w:hAnsi="Times New Roman" w:cs="Times New Roman"/>
                          <w:color w:val="auto"/>
                          <w:sz w:val="20"/>
                          <w:szCs w:val="20"/>
                          <w:lang w:val="en"/>
                        </w:rPr>
                        <w:t xml:space="preserve"> -3dB</w:t>
                      </w:r>
                    </w:p>
                    <w:p w14:paraId="61288FD4" w14:textId="77777777" w:rsidR="00E05E57" w:rsidRPr="00E05E57" w:rsidRDefault="00E05E57" w:rsidP="00E05E57">
                      <w:pPr>
                        <w:pStyle w:val="pf1"/>
                        <w:spacing w:before="0" w:beforeAutospacing="0" w:after="0" w:afterAutospacing="0"/>
                        <w:ind w:left="0"/>
                        <w:rPr>
                          <w:sz w:val="20"/>
                          <w:szCs w:val="20"/>
                          <w:lang w:val="en"/>
                        </w:rPr>
                      </w:pPr>
                      <w:r w:rsidRPr="00E05E57">
                        <w:rPr>
                          <w:rStyle w:val="cf11"/>
                          <w:rFonts w:ascii="Times New Roman" w:hAnsi="Times New Roman" w:cs="Times New Roman"/>
                          <w:color w:val="auto"/>
                          <w:sz w:val="20"/>
                          <w:szCs w:val="20"/>
                          <w:lang w:val="en"/>
                        </w:rPr>
                        <w:t>-</w:t>
                      </w:r>
                      <w:r w:rsidRPr="00E05E57">
                        <w:rPr>
                          <w:rStyle w:val="cf11"/>
                          <w:rFonts w:ascii="Times New Roman" w:hAnsi="Times New Roman" w:cs="Times New Roman"/>
                          <w:color w:val="auto"/>
                          <w:sz w:val="20"/>
                          <w:szCs w:val="20"/>
                          <w:lang w:val="en"/>
                        </w:rPr>
                        <w:tab/>
                        <w:t>RS resource pair configured for dual TCI states is reported in last [1280]ms</w:t>
                      </w:r>
                    </w:p>
                    <w:p w14:paraId="6C22A81B" w14:textId="77777777" w:rsidR="00E05E57" w:rsidRPr="00E05E57" w:rsidRDefault="00E05E57" w:rsidP="00E05E57">
                      <w:pPr>
                        <w:pStyle w:val="pf0"/>
                        <w:spacing w:before="0" w:beforeAutospacing="0" w:after="0" w:afterAutospacing="0"/>
                        <w:rPr>
                          <w:sz w:val="20"/>
                          <w:szCs w:val="20"/>
                          <w:lang w:val="en"/>
                        </w:rPr>
                      </w:pPr>
                      <w:r w:rsidRPr="00E05E57">
                        <w:rPr>
                          <w:rStyle w:val="cf31"/>
                          <w:rFonts w:ascii="Times New Roman" w:eastAsia="Calibri" w:hAnsi="Times New Roman" w:cs="Times New Roman"/>
                          <w:color w:val="auto"/>
                          <w:sz w:val="20"/>
                          <w:szCs w:val="20"/>
                          <w:lang w:val="en"/>
                        </w:rPr>
                        <w:t xml:space="preserve">Editor’s </w:t>
                      </w:r>
                      <w:proofErr w:type="spellStart"/>
                      <w:r w:rsidRPr="00E05E57">
                        <w:rPr>
                          <w:rStyle w:val="cf31"/>
                          <w:rFonts w:ascii="Times New Roman" w:eastAsia="Calibri" w:hAnsi="Times New Roman" w:cs="Times New Roman"/>
                          <w:color w:val="auto"/>
                          <w:sz w:val="20"/>
                          <w:szCs w:val="20"/>
                          <w:lang w:val="en"/>
                        </w:rPr>
                        <w:t>n</w:t>
                      </w:r>
                      <w:r w:rsidRPr="00E05E57">
                        <w:rPr>
                          <w:rStyle w:val="cf11"/>
                          <w:rFonts w:ascii="Times New Roman" w:hAnsi="Times New Roman" w:cs="Times New Roman"/>
                          <w:color w:val="auto"/>
                          <w:sz w:val="20"/>
                          <w:szCs w:val="20"/>
                          <w:lang w:val="en"/>
                        </w:rPr>
                        <w:t>Note</w:t>
                      </w:r>
                      <w:proofErr w:type="spellEnd"/>
                      <w:r w:rsidRPr="00E05E57">
                        <w:rPr>
                          <w:rStyle w:val="cf11"/>
                          <w:rFonts w:ascii="Times New Roman" w:hAnsi="Times New Roman" w:cs="Times New Roman"/>
                          <w:color w:val="auto"/>
                          <w:sz w:val="20"/>
                          <w:szCs w:val="20"/>
                          <w:lang w:val="en"/>
                        </w:rPr>
                        <w:t>: FFS whether additional conditions are needed for tests.</w:t>
                      </w:r>
                    </w:p>
                    <w:p w14:paraId="089809D3" w14:textId="77777777" w:rsidR="00E05E57" w:rsidRDefault="00E05E57" w:rsidP="00E05E57"/>
                  </w:txbxContent>
                </v:textbox>
                <w10:wrap type="square"/>
              </v:shape>
            </w:pict>
          </mc:Fallback>
        </mc:AlternateContent>
      </w:r>
      <w:r>
        <w:rPr>
          <w:lang w:val="en-GB"/>
        </w:rPr>
        <w:t>RAN 4 has agreed the following known conditions for s-DCI and m-DCI:</w:t>
      </w:r>
    </w:p>
    <w:p w14:paraId="5F7EF03E" w14:textId="77777777" w:rsidR="00E05E57" w:rsidRDefault="00E05E57" w:rsidP="00E05E57">
      <w:pPr>
        <w:rPr>
          <w:lang w:val="en-GB"/>
        </w:rPr>
      </w:pPr>
    </w:p>
    <w:p w14:paraId="23D370C3" w14:textId="77777777" w:rsidR="00E05E57" w:rsidRDefault="00E05E57" w:rsidP="00E05E57">
      <w:pPr>
        <w:rPr>
          <w:lang w:val="en-GB"/>
        </w:rPr>
      </w:pPr>
      <w:r>
        <w:rPr>
          <w:lang w:val="en-GB"/>
        </w:rPr>
        <w:t xml:space="preserve">In the RAN 4 #108-bis meeting, it was discussed that the agreed upon known conditions do not fully cover the scenario in m-DCI where only one TCI state is switched while the other will </w:t>
      </w:r>
      <w:proofErr w:type="gramStart"/>
      <w:r>
        <w:rPr>
          <w:lang w:val="en-GB"/>
        </w:rPr>
        <w:t>still continue</w:t>
      </w:r>
      <w:proofErr w:type="gramEnd"/>
      <w:r>
        <w:rPr>
          <w:lang w:val="en-GB"/>
        </w:rPr>
        <w:t xml:space="preserve"> to be used as is. We believe that this is valid concern, since the known TCI state condition is dependent on group-based reporting, and for the UE to be able to remain in m-DCI mode, also in this case the UE should be able to receive with the TCI states that are indicated after the TCI state switch is completed. Hence, we propose to add the following condition to the already agreed known conditions for m-DCI:</w:t>
      </w:r>
    </w:p>
    <w:p w14:paraId="0199B472" w14:textId="77777777" w:rsidR="00E05E57" w:rsidRPr="002755CB" w:rsidRDefault="00E05E57" w:rsidP="00E05E57">
      <w:pPr>
        <w:pStyle w:val="RAN4proposal"/>
        <w:ind w:left="0" w:firstLine="0"/>
        <w:rPr>
          <w:szCs w:val="22"/>
          <w:lang w:val="en-GB"/>
        </w:rPr>
      </w:pPr>
      <w:bookmarkStart w:id="13" w:name="_Toc149906465"/>
      <w:r>
        <w:rPr>
          <w:szCs w:val="22"/>
          <w:lang w:val="en-GB"/>
        </w:rPr>
        <w:t xml:space="preserve">Update the known dual TCI state conditions with: </w:t>
      </w:r>
      <w:r w:rsidRPr="002755CB">
        <w:rPr>
          <w:szCs w:val="22"/>
          <w:lang w:val="en-GB"/>
        </w:rPr>
        <w:t xml:space="preserve">In m-DCI, when the UE receives a TCI state switch command for only one </w:t>
      </w:r>
      <w:proofErr w:type="spellStart"/>
      <w:r w:rsidRPr="002755CB">
        <w:rPr>
          <w:szCs w:val="22"/>
          <w:lang w:val="en-GB"/>
        </w:rPr>
        <w:t>CORESETPoolIndex</w:t>
      </w:r>
      <w:proofErr w:type="spellEnd"/>
      <w:r w:rsidRPr="002755CB">
        <w:rPr>
          <w:szCs w:val="22"/>
          <w:lang w:val="en-GB"/>
        </w:rPr>
        <w:t xml:space="preserve"> while the TCI state for the other </w:t>
      </w:r>
      <w:proofErr w:type="spellStart"/>
      <w:r w:rsidRPr="002755CB">
        <w:rPr>
          <w:szCs w:val="22"/>
          <w:lang w:val="en-GB"/>
        </w:rPr>
        <w:t>CORESETPoolIndex</w:t>
      </w:r>
      <w:proofErr w:type="spellEnd"/>
      <w:r w:rsidRPr="002755CB">
        <w:rPr>
          <w:szCs w:val="22"/>
          <w:lang w:val="en-GB"/>
        </w:rPr>
        <w:t xml:space="preserve"> is not switched, the target TCI state shall be QCL-ed with type D to a RS of a resource pair within one group of which the other RS has a QCL type D relation to the TCI state not being switched.</w:t>
      </w:r>
      <w:bookmarkEnd w:id="13"/>
    </w:p>
    <w:p w14:paraId="00AC3775" w14:textId="77777777" w:rsidR="00E05E57" w:rsidRPr="00DD2203" w:rsidRDefault="00E05E57" w:rsidP="00E05E57">
      <w:pPr>
        <w:rPr>
          <w:lang w:val="en-GB"/>
        </w:rPr>
      </w:pPr>
      <w:r>
        <w:rPr>
          <w:lang w:val="en-GB"/>
        </w:rPr>
        <w:t>We have proposed a way to capture the proposals in this contribution in our draft CR [3].</w:t>
      </w:r>
    </w:p>
    <w:p w14:paraId="69D84644" w14:textId="77777777" w:rsidR="00E05E57" w:rsidRPr="00EF698B" w:rsidRDefault="00E05E57" w:rsidP="00E05E57">
      <w:pPr>
        <w:pStyle w:val="RAN4H1"/>
        <w:jc w:val="both"/>
        <w:rPr>
          <w:lang w:val="en-US"/>
        </w:rPr>
      </w:pPr>
      <w:bookmarkStart w:id="14" w:name="_Toc116995848"/>
      <w:r w:rsidRPr="00EF698B">
        <w:rPr>
          <w:lang w:val="en-US"/>
        </w:rPr>
        <w:t>Conclusion</w:t>
      </w:r>
      <w:bookmarkEnd w:id="14"/>
    </w:p>
    <w:p w14:paraId="290C7DF9" w14:textId="77777777" w:rsidR="00E05E57" w:rsidRPr="00D7636C" w:rsidRDefault="00E05E57" w:rsidP="00E05E57">
      <w:pPr>
        <w:rPr>
          <w:highlight w:val="yellow"/>
          <w:lang w:val="en-GB"/>
        </w:rPr>
      </w:pPr>
      <w:r w:rsidRPr="00D7636C">
        <w:t>In this contribution we have made the following observations and proposals:</w:t>
      </w:r>
    </w:p>
    <w:p w14:paraId="5EDCC39E" w14:textId="1CA5071A" w:rsidR="00E05E57" w:rsidRDefault="00E05E57">
      <w:pPr>
        <w:pStyle w:val="TOC4"/>
        <w:rPr>
          <w:rFonts w:asciiTheme="minorHAnsi" w:eastAsiaTheme="minorEastAsia" w:hAnsiTheme="minorHAnsi"/>
          <w:noProof/>
          <w:kern w:val="2"/>
          <w:sz w:val="22"/>
          <w14:ligatures w14:val="standardContextual"/>
        </w:rPr>
      </w:pPr>
      <w:r>
        <w:rPr>
          <w:b/>
          <w:i/>
          <w:iCs/>
          <w:noProof/>
        </w:rPr>
        <w:fldChar w:fldCharType="begin"/>
      </w:r>
      <w:r>
        <w:rPr>
          <w:i/>
          <w:iCs/>
          <w:noProof/>
        </w:rPr>
        <w:instrText xml:space="preserve"> TOC \n \h \z \t "RAN4 proposal,5,RAN4 observation,4" </w:instrText>
      </w:r>
      <w:r>
        <w:rPr>
          <w:b/>
          <w:i/>
          <w:iCs/>
          <w:noProof/>
        </w:rPr>
        <w:fldChar w:fldCharType="separate"/>
      </w:r>
      <w:hyperlink w:anchor="_Toc149906459" w:history="1">
        <w:r w:rsidRPr="00D5499B">
          <w:rPr>
            <w:rStyle w:val="Hyperlink"/>
            <w:b/>
            <w:noProof/>
          </w:rPr>
          <w:t>Observation 1:</w:t>
        </w:r>
        <w:r w:rsidRPr="00D5499B">
          <w:rPr>
            <w:rStyle w:val="Hyperlink"/>
            <w:noProof/>
          </w:rPr>
          <w:t xml:space="preserve"> According to the RAN1 specification, the delay timeDurationForQCL applies independent of whether the DCIs from two TRPs are received simultaneously or non-simultaneously in the multi-DCI scenario.</w:t>
        </w:r>
      </w:hyperlink>
    </w:p>
    <w:p w14:paraId="56497038" w14:textId="76C680E6" w:rsidR="00E05E57" w:rsidRDefault="00000000">
      <w:pPr>
        <w:pStyle w:val="TOC5"/>
        <w:rPr>
          <w:rFonts w:asciiTheme="minorHAnsi" w:eastAsiaTheme="minorEastAsia" w:hAnsiTheme="minorHAnsi"/>
          <w:b w:val="0"/>
          <w:noProof/>
          <w:kern w:val="2"/>
          <w:sz w:val="22"/>
          <w14:ligatures w14:val="standardContextual"/>
        </w:rPr>
      </w:pPr>
      <w:hyperlink w:anchor="_Toc149906460" w:history="1">
        <w:r w:rsidR="00E05E57" w:rsidRPr="00D5499B">
          <w:rPr>
            <w:rStyle w:val="Hyperlink"/>
            <w:noProof/>
            <w:lang w:val="en-GB"/>
          </w:rPr>
          <w:t>Proposal 1: For multi-DCI scenario, DCI based TCI state switch is per TRP. Hence legacy requirement can be reused and applied per TRP. When the TCI state switching periods/delays are overlapping in time, the UE shall be able to receive the two target TCI states simultaneously after both TCI state switches are completed.</w:t>
        </w:r>
      </w:hyperlink>
    </w:p>
    <w:p w14:paraId="5A62FCCB" w14:textId="547B4104" w:rsidR="00E05E57" w:rsidRDefault="00000000">
      <w:pPr>
        <w:pStyle w:val="TOC5"/>
        <w:rPr>
          <w:rFonts w:asciiTheme="minorHAnsi" w:eastAsiaTheme="minorEastAsia" w:hAnsiTheme="minorHAnsi"/>
          <w:b w:val="0"/>
          <w:noProof/>
          <w:kern w:val="2"/>
          <w:sz w:val="22"/>
          <w14:ligatures w14:val="standardContextual"/>
        </w:rPr>
      </w:pPr>
      <w:hyperlink w:anchor="_Toc149906461" w:history="1">
        <w:r w:rsidR="00E05E57" w:rsidRPr="00D5499B">
          <w:rPr>
            <w:rStyle w:val="Hyperlink"/>
            <w:noProof/>
          </w:rPr>
          <w:t>Proposal 2: Rel-18 UEs which support simultaneous PDCCH reception can receive the PDCCHs from the two TRPs simultaneously when the later of the two TCIs states is switched.</w:t>
        </w:r>
      </w:hyperlink>
    </w:p>
    <w:p w14:paraId="2288D988" w14:textId="3F854DCA" w:rsidR="00E05E57" w:rsidRDefault="00000000">
      <w:pPr>
        <w:pStyle w:val="TOC5"/>
        <w:rPr>
          <w:rFonts w:asciiTheme="minorHAnsi" w:eastAsiaTheme="minorEastAsia" w:hAnsiTheme="minorHAnsi"/>
          <w:b w:val="0"/>
          <w:noProof/>
          <w:kern w:val="2"/>
          <w:sz w:val="22"/>
          <w14:ligatures w14:val="standardContextual"/>
        </w:rPr>
      </w:pPr>
      <w:hyperlink w:anchor="_Toc149906462" w:history="1">
        <w:r w:rsidR="00E05E57" w:rsidRPr="00D5499B">
          <w:rPr>
            <w:rStyle w:val="Hyperlink"/>
            <w:noProof/>
          </w:rPr>
          <w:t>Proposal 3: For UEs (including Rel-18) not supporting simultaneous PDCCH reception capability, the requirements per TRP would apply independently. Legacy requirements for MAC-CE based TCI state switch for PDCCH apply per TRP.</w:t>
        </w:r>
      </w:hyperlink>
    </w:p>
    <w:p w14:paraId="770DEB74" w14:textId="1ED31DC0" w:rsidR="00E05E57" w:rsidRDefault="00000000">
      <w:pPr>
        <w:pStyle w:val="TOC5"/>
        <w:rPr>
          <w:rFonts w:asciiTheme="minorHAnsi" w:eastAsiaTheme="minorEastAsia" w:hAnsiTheme="minorHAnsi"/>
          <w:b w:val="0"/>
          <w:noProof/>
          <w:kern w:val="2"/>
          <w:sz w:val="22"/>
          <w14:ligatures w14:val="standardContextual"/>
        </w:rPr>
      </w:pPr>
      <w:hyperlink w:anchor="_Toc149906463" w:history="1">
        <w:r w:rsidR="00E05E57" w:rsidRPr="00D5499B">
          <w:rPr>
            <w:rStyle w:val="Hyperlink"/>
            <w:noProof/>
            <w:lang w:val="en-GB"/>
          </w:rPr>
          <w:t xml:space="preserve">Proposal 4: RRC based TCI state switch delay requirements will apply when the UE is configured via RRC with TCI states per CORESET associated with a different </w:t>
        </w:r>
        <w:r w:rsidR="00E05E57" w:rsidRPr="00D5499B">
          <w:rPr>
            <w:rStyle w:val="Hyperlink"/>
            <w:i/>
            <w:noProof/>
            <w:lang w:val="en-GB"/>
          </w:rPr>
          <w:t>CORESETPoolIndex</w:t>
        </w:r>
        <w:r w:rsidR="00E05E57" w:rsidRPr="00D5499B">
          <w:rPr>
            <w:rStyle w:val="Hyperlink"/>
            <w:noProof/>
            <w:lang w:val="en-GB"/>
          </w:rPr>
          <w:t>. The legacy RRC requirements can be reused and shall apply per TRP.</w:t>
        </w:r>
      </w:hyperlink>
    </w:p>
    <w:p w14:paraId="6C0EB20E" w14:textId="5560F011" w:rsidR="00E05E57" w:rsidRDefault="00000000">
      <w:pPr>
        <w:pStyle w:val="TOC5"/>
        <w:rPr>
          <w:rFonts w:asciiTheme="minorHAnsi" w:eastAsiaTheme="minorEastAsia" w:hAnsiTheme="minorHAnsi"/>
          <w:b w:val="0"/>
          <w:noProof/>
          <w:kern w:val="2"/>
          <w:sz w:val="22"/>
          <w14:ligatures w14:val="standardContextual"/>
        </w:rPr>
      </w:pPr>
      <w:hyperlink w:anchor="_Toc149906464" w:history="1">
        <w:r w:rsidR="00E05E57" w:rsidRPr="00D5499B">
          <w:rPr>
            <w:rStyle w:val="Hyperlink"/>
            <w:noProof/>
          </w:rPr>
          <w:t>Proposal 5: If the reference signals of the TCI states received in the MAC-CE for TCI state activation has QCL relation with the reference signal of the TCI state which is already a part of the active TCI state list, the UE can skip synchronization with the first SSB for that TCI state.</w:t>
        </w:r>
      </w:hyperlink>
    </w:p>
    <w:p w14:paraId="0AD1B91A" w14:textId="65BC4A9A" w:rsidR="00E05E57" w:rsidRDefault="00000000">
      <w:pPr>
        <w:pStyle w:val="TOC5"/>
        <w:rPr>
          <w:rFonts w:asciiTheme="minorHAnsi" w:eastAsiaTheme="minorEastAsia" w:hAnsiTheme="minorHAnsi"/>
          <w:b w:val="0"/>
          <w:noProof/>
          <w:kern w:val="2"/>
          <w:sz w:val="22"/>
          <w14:ligatures w14:val="standardContextual"/>
        </w:rPr>
      </w:pPr>
      <w:hyperlink w:anchor="_Toc149906465" w:history="1">
        <w:r w:rsidR="00E05E57" w:rsidRPr="00D5499B">
          <w:rPr>
            <w:rStyle w:val="Hyperlink"/>
            <w:noProof/>
            <w:lang w:val="en-GB"/>
          </w:rPr>
          <w:t>Proposal 6: Update the known dual TCI state conditions with: In m-DCI, when the UE receives a TCI state switch command for only one CORESETPoolIndex while the TCI state for the other CORESETPoolIndex is not switched, the target TCI state shall be QCL-ed with type D to a RS of a resource pair within one group of which the other RS has a QCL type D relation to the TCI state not being switched.</w:t>
        </w:r>
      </w:hyperlink>
    </w:p>
    <w:p w14:paraId="49F56741" w14:textId="2AB6D138" w:rsidR="00E05E57" w:rsidRPr="00FA2E8E" w:rsidRDefault="00E05E57" w:rsidP="00E05E57">
      <w:r>
        <w:fldChar w:fldCharType="end"/>
      </w:r>
      <w:bookmarkStart w:id="15" w:name="_Toc116995849"/>
    </w:p>
    <w:p w14:paraId="6686FFFA" w14:textId="77777777" w:rsidR="00E05E57" w:rsidRPr="0060543D" w:rsidRDefault="00E05E57" w:rsidP="00E05E57">
      <w:pPr>
        <w:pStyle w:val="RAN4H1"/>
        <w:numPr>
          <w:ilvl w:val="0"/>
          <w:numId w:val="0"/>
        </w:numPr>
        <w:ind w:left="360" w:hanging="360"/>
      </w:pPr>
      <w:r w:rsidRPr="00EF698B">
        <w:t>References</w:t>
      </w:r>
      <w:bookmarkEnd w:id="15"/>
    </w:p>
    <w:p w14:paraId="64171214" w14:textId="77777777" w:rsidR="00E05E57" w:rsidRPr="000125D3" w:rsidRDefault="00E05E57" w:rsidP="00E05E57">
      <w:pPr>
        <w:pStyle w:val="ListParagraph"/>
        <w:numPr>
          <w:ilvl w:val="0"/>
          <w:numId w:val="5"/>
        </w:numPr>
        <w:ind w:right="-22"/>
        <w:jc w:val="both"/>
      </w:pPr>
      <w:bookmarkStart w:id="16" w:name="_Ref114500673"/>
      <w:bookmarkStart w:id="17" w:name="_Ref127350893"/>
      <w:bookmarkStart w:id="18" w:name="_Ref133392276"/>
      <w:bookmarkEnd w:id="16"/>
      <w:r w:rsidRPr="000125D3">
        <w:t xml:space="preserve">R4-2317427, </w:t>
      </w:r>
      <w:bookmarkEnd w:id="17"/>
      <w:r w:rsidRPr="000125D3">
        <w:t xml:space="preserve">WF on FR2_multiRx_part2, Ericsson, </w:t>
      </w:r>
      <w:r>
        <w:rPr>
          <w:rFonts w:cs="Times New Roman"/>
          <w:lang w:val="en-GB"/>
        </w:rPr>
        <w:t xml:space="preserve">RAN4#108bis meeting, Xiamen, China, 9-13 </w:t>
      </w:r>
      <w:proofErr w:type="gramStart"/>
      <w:r>
        <w:rPr>
          <w:rFonts w:cs="Times New Roman"/>
          <w:lang w:val="en-GB"/>
        </w:rPr>
        <w:t>October,</w:t>
      </w:r>
      <w:proofErr w:type="gramEnd"/>
      <w:r>
        <w:rPr>
          <w:rFonts w:cs="Times New Roman"/>
          <w:lang w:val="en-GB"/>
        </w:rPr>
        <w:t xml:space="preserve"> 2023</w:t>
      </w:r>
      <w:bookmarkEnd w:id="18"/>
      <w:r w:rsidRPr="000125D3">
        <w:t>.</w:t>
      </w:r>
    </w:p>
    <w:p w14:paraId="641D778F" w14:textId="77777777" w:rsidR="00E05E57" w:rsidRPr="00581A12" w:rsidRDefault="00E05E57" w:rsidP="00E05E57">
      <w:pPr>
        <w:pStyle w:val="ListParagraph"/>
        <w:numPr>
          <w:ilvl w:val="0"/>
          <w:numId w:val="5"/>
        </w:numPr>
        <w:ind w:right="-22"/>
        <w:jc w:val="both"/>
      </w:pPr>
      <w:bookmarkStart w:id="19" w:name="_Ref148813962"/>
      <w:r w:rsidRPr="000125D3">
        <w:t xml:space="preserve">R1-2310581, Reply LS on Dual TCI state switching in </w:t>
      </w:r>
      <w:proofErr w:type="spellStart"/>
      <w:r w:rsidRPr="000125D3">
        <w:t>mDCI</w:t>
      </w:r>
      <w:bookmarkEnd w:id="19"/>
      <w:proofErr w:type="spellEnd"/>
      <w:r>
        <w:t xml:space="preserve">, </w:t>
      </w:r>
      <w:r>
        <w:rPr>
          <w:rFonts w:cs="Times New Roman"/>
          <w:lang w:val="en-GB"/>
        </w:rPr>
        <w:t xml:space="preserve">RAN1 meeting, Xiamen, China, 9-13 </w:t>
      </w:r>
      <w:proofErr w:type="gramStart"/>
      <w:r>
        <w:rPr>
          <w:rFonts w:cs="Times New Roman"/>
          <w:lang w:val="en-GB"/>
        </w:rPr>
        <w:t>October,</w:t>
      </w:r>
      <w:proofErr w:type="gramEnd"/>
      <w:r>
        <w:rPr>
          <w:rFonts w:cs="Times New Roman"/>
          <w:lang w:val="en-GB"/>
        </w:rPr>
        <w:t xml:space="preserve"> 2023.</w:t>
      </w:r>
    </w:p>
    <w:p w14:paraId="5980912C" w14:textId="77777777" w:rsidR="00E05E57" w:rsidRPr="000125D3" w:rsidRDefault="00E05E57" w:rsidP="00E05E57">
      <w:pPr>
        <w:pStyle w:val="ListParagraph"/>
        <w:numPr>
          <w:ilvl w:val="0"/>
          <w:numId w:val="5"/>
        </w:numPr>
        <w:ind w:right="-22"/>
        <w:jc w:val="both"/>
      </w:pPr>
      <w:r w:rsidRPr="00581A12">
        <w:t>R4-2319279</w:t>
      </w:r>
      <w:r>
        <w:t xml:space="preserve">, </w:t>
      </w:r>
      <w:r w:rsidRPr="00581A12">
        <w:t>Draft CR on multi-Rx TCI state switching requirements</w:t>
      </w:r>
      <w:r>
        <w:t>, Nokia, Nokia Shanghai Bell, 3GPP TSG-RAN WG4 Meeting # 109, Chicago, US, November 13 – 17, 2023.</w:t>
      </w:r>
    </w:p>
    <w:p w14:paraId="3AE14AA2" w14:textId="77777777" w:rsidR="00617326" w:rsidRPr="00E05E57" w:rsidRDefault="00617326" w:rsidP="00E05E57"/>
    <w:sectPr w:rsidR="00617326" w:rsidRPr="00E05E57"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832E13" w14:textId="77777777" w:rsidR="00073B04" w:rsidRDefault="00073B04" w:rsidP="00001C9B">
      <w:pPr>
        <w:spacing w:after="0" w:line="240" w:lineRule="auto"/>
      </w:pPr>
      <w:r>
        <w:separator/>
      </w:r>
    </w:p>
  </w:endnote>
  <w:endnote w:type="continuationSeparator" w:id="0">
    <w:p w14:paraId="728DE108" w14:textId="77777777" w:rsidR="00073B04" w:rsidRDefault="00073B04" w:rsidP="00001C9B">
      <w:pPr>
        <w:spacing w:after="0" w:line="240" w:lineRule="auto"/>
      </w:pPr>
      <w:r>
        <w:continuationSeparator/>
      </w:r>
    </w:p>
  </w:endnote>
  <w:endnote w:type="continuationNotice" w:id="1">
    <w:p w14:paraId="18CD0540" w14:textId="77777777" w:rsidR="00073B04" w:rsidRDefault="00073B0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BD982" w14:textId="77777777" w:rsidR="00073B04" w:rsidRDefault="00073B04" w:rsidP="00001C9B">
      <w:pPr>
        <w:spacing w:after="0" w:line="240" w:lineRule="auto"/>
      </w:pPr>
      <w:r>
        <w:separator/>
      </w:r>
    </w:p>
  </w:footnote>
  <w:footnote w:type="continuationSeparator" w:id="0">
    <w:p w14:paraId="3D66511B" w14:textId="77777777" w:rsidR="00073B04" w:rsidRDefault="00073B04" w:rsidP="00001C9B">
      <w:pPr>
        <w:spacing w:after="0" w:line="240" w:lineRule="auto"/>
      </w:pPr>
      <w:r>
        <w:continuationSeparator/>
      </w:r>
    </w:p>
  </w:footnote>
  <w:footnote w:type="continuationNotice" w:id="1">
    <w:p w14:paraId="1EEE0D0D" w14:textId="77777777" w:rsidR="00073B04" w:rsidRDefault="00073B0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36FCD"/>
    <w:multiLevelType w:val="multilevel"/>
    <w:tmpl w:val="A01CC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D06393"/>
    <w:multiLevelType w:val="multilevel"/>
    <w:tmpl w:val="86863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5021A6F"/>
    <w:multiLevelType w:val="multilevel"/>
    <w:tmpl w:val="9476F8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6C240E3"/>
    <w:multiLevelType w:val="multilevel"/>
    <w:tmpl w:val="0A083F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75A1753"/>
    <w:multiLevelType w:val="multilevel"/>
    <w:tmpl w:val="FD041C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D7F3522"/>
    <w:multiLevelType w:val="multilevel"/>
    <w:tmpl w:val="37261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32F6936"/>
    <w:multiLevelType w:val="hybridMultilevel"/>
    <w:tmpl w:val="5FFCE3DC"/>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4E22233"/>
    <w:multiLevelType w:val="multilevel"/>
    <w:tmpl w:val="559A4F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6472D3C"/>
    <w:multiLevelType w:val="hybridMultilevel"/>
    <w:tmpl w:val="8CD2F704"/>
    <w:lvl w:ilvl="0" w:tplc="0854E92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BFE6EF2"/>
    <w:multiLevelType w:val="multilevel"/>
    <w:tmpl w:val="35AEE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25D5A37"/>
    <w:multiLevelType w:val="multilevel"/>
    <w:tmpl w:val="54C6C8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A4E0092"/>
    <w:multiLevelType w:val="hybridMultilevel"/>
    <w:tmpl w:val="1720A9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AA1D5A"/>
    <w:multiLevelType w:val="multilevel"/>
    <w:tmpl w:val="9C1C5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530169E"/>
    <w:multiLevelType w:val="hybridMultilevel"/>
    <w:tmpl w:val="36641758"/>
    <w:lvl w:ilvl="0" w:tplc="04090019">
      <w:start w:val="1"/>
      <w:numFmt w:val="lowerLetter"/>
      <w:lvlText w:val="%1."/>
      <w:lvlJc w:val="lef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8470B06"/>
    <w:multiLevelType w:val="multilevel"/>
    <w:tmpl w:val="50AE77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DD10CE9"/>
    <w:multiLevelType w:val="multilevel"/>
    <w:tmpl w:val="037019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E7B037F"/>
    <w:multiLevelType w:val="multilevel"/>
    <w:tmpl w:val="B1E8B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F13543F"/>
    <w:multiLevelType w:val="hybridMultilevel"/>
    <w:tmpl w:val="89805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8D1E8E"/>
    <w:multiLevelType w:val="hybridMultilevel"/>
    <w:tmpl w:val="AB06983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33610D6"/>
    <w:multiLevelType w:val="multilevel"/>
    <w:tmpl w:val="197E5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338413F"/>
    <w:multiLevelType w:val="hybridMultilevel"/>
    <w:tmpl w:val="A544CA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565748"/>
    <w:multiLevelType w:val="multilevel"/>
    <w:tmpl w:val="41001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4990857"/>
    <w:multiLevelType w:val="multilevel"/>
    <w:tmpl w:val="652CD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C18201D"/>
    <w:multiLevelType w:val="hybridMultilevel"/>
    <w:tmpl w:val="45EE1D02"/>
    <w:lvl w:ilvl="0" w:tplc="0854E92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C71936"/>
    <w:multiLevelType w:val="multilevel"/>
    <w:tmpl w:val="72C71936"/>
    <w:lvl w:ilvl="0">
      <w:start w:val="1"/>
      <w:numFmt w:val="decimal"/>
      <w:lvlText w:val="%1"/>
      <w:lvlJc w:val="left"/>
      <w:pPr>
        <w:tabs>
          <w:tab w:val="left" w:pos="432"/>
        </w:tabs>
        <w:ind w:left="432" w:hanging="432"/>
      </w:pPr>
      <w:rPr>
        <w:strike w:val="0"/>
        <w:dstrike w:val="0"/>
        <w:u w:val="none"/>
        <w:effect w:val="none"/>
      </w:rPr>
    </w:lvl>
    <w:lvl w:ilvl="1">
      <w:start w:val="1"/>
      <w:numFmt w:val="decimal"/>
      <w:lvlText w:val="%1.%2"/>
      <w:lvlJc w:val="left"/>
      <w:pPr>
        <w:tabs>
          <w:tab w:val="left" w:pos="576"/>
        </w:tabs>
        <w:ind w:left="576" w:hanging="576"/>
      </w:pPr>
      <w:rPr>
        <w:strike w:val="0"/>
        <w:dstrike w:val="0"/>
        <w:color w:val="000000"/>
        <w:u w:val="none"/>
        <w:effect w:val="none"/>
      </w:rPr>
    </w:lvl>
    <w:lvl w:ilvl="2">
      <w:start w:val="1"/>
      <w:numFmt w:val="decimal"/>
      <w:lvlText w:val="%1.%2.%3"/>
      <w:lvlJc w:val="left"/>
      <w:pPr>
        <w:tabs>
          <w:tab w:val="left" w:pos="1146"/>
        </w:tabs>
        <w:ind w:left="1146" w:hanging="720"/>
      </w:pPr>
      <w:rPr>
        <w:strike w:val="0"/>
        <w:dstrike w:val="0"/>
        <w:u w:val="none"/>
        <w:effect w:val="none"/>
      </w:rPr>
    </w:lvl>
    <w:lvl w:ilvl="3">
      <w:start w:val="1"/>
      <w:numFmt w:val="decimal"/>
      <w:lvlText w:val="%1.%2.%3.%4"/>
      <w:lvlJc w:val="left"/>
      <w:pPr>
        <w:tabs>
          <w:tab w:val="left" w:pos="864"/>
        </w:tabs>
        <w:ind w:left="864" w:hanging="864"/>
      </w:pPr>
      <w:rPr>
        <w:strike w:val="0"/>
        <w:dstrike w:val="0"/>
        <w:u w:val="none"/>
        <w:effect w:val="none"/>
      </w:r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31" w15:restartNumberingAfterBreak="0">
    <w:nsid w:val="75AC09A4"/>
    <w:multiLevelType w:val="multilevel"/>
    <w:tmpl w:val="1262A5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A1C6284"/>
    <w:multiLevelType w:val="multilevel"/>
    <w:tmpl w:val="5308D4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AAF53D0"/>
    <w:multiLevelType w:val="hybridMultilevel"/>
    <w:tmpl w:val="14AA1AC6"/>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02946758">
    <w:abstractNumId w:val="18"/>
  </w:num>
  <w:num w:numId="2" w16cid:durableId="361980072">
    <w:abstractNumId w:val="15"/>
  </w:num>
  <w:num w:numId="3" w16cid:durableId="927813965">
    <w:abstractNumId w:val="17"/>
  </w:num>
  <w:num w:numId="4" w16cid:durableId="917521702">
    <w:abstractNumId w:val="28"/>
  </w:num>
  <w:num w:numId="5" w16cid:durableId="671375316">
    <w:abstractNumId w:val="25"/>
  </w:num>
  <w:num w:numId="6" w16cid:durableId="1427069136">
    <w:abstractNumId w:val="1"/>
  </w:num>
  <w:num w:numId="7" w16cid:durableId="1455634303">
    <w:abstractNumId w:val="12"/>
  </w:num>
  <w:num w:numId="8" w16cid:durableId="1356613247">
    <w:abstractNumId w:val="7"/>
  </w:num>
  <w:num w:numId="9" w16cid:durableId="1367170899">
    <w:abstractNumId w:val="14"/>
  </w:num>
  <w:num w:numId="10" w16cid:durableId="68899207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51993571">
    <w:abstractNumId w:val="15"/>
  </w:num>
  <w:num w:numId="12" w16cid:durableId="234096432">
    <w:abstractNumId w:val="15"/>
  </w:num>
  <w:num w:numId="13" w16cid:durableId="487597714">
    <w:abstractNumId w:val="17"/>
  </w:num>
  <w:num w:numId="14" w16cid:durableId="395093">
    <w:abstractNumId w:val="11"/>
    <w:lvlOverride w:ilvl="0">
      <w:startOverride w:val="1"/>
    </w:lvlOverride>
  </w:num>
  <w:num w:numId="15" w16cid:durableId="1977953323">
    <w:abstractNumId w:val="27"/>
  </w:num>
  <w:num w:numId="16" w16cid:durableId="460349737">
    <w:abstractNumId w:val="0"/>
  </w:num>
  <w:num w:numId="17" w16cid:durableId="491070359">
    <w:abstractNumId w:val="20"/>
  </w:num>
  <w:num w:numId="18" w16cid:durableId="1922835953">
    <w:abstractNumId w:val="31"/>
    <w:lvlOverride w:ilvl="0">
      <w:startOverride w:val="1"/>
    </w:lvlOverride>
  </w:num>
  <w:num w:numId="19" w16cid:durableId="2133858268">
    <w:abstractNumId w:val="10"/>
  </w:num>
  <w:num w:numId="20" w16cid:durableId="421075642">
    <w:abstractNumId w:val="2"/>
  </w:num>
  <w:num w:numId="21" w16cid:durableId="707215916">
    <w:abstractNumId w:val="21"/>
  </w:num>
  <w:num w:numId="22" w16cid:durableId="784034910">
    <w:abstractNumId w:val="3"/>
  </w:num>
  <w:num w:numId="23" w16cid:durableId="91560492">
    <w:abstractNumId w:val="24"/>
  </w:num>
  <w:num w:numId="24" w16cid:durableId="1514224847">
    <w:abstractNumId w:val="9"/>
  </w:num>
  <w:num w:numId="25" w16cid:durableId="203642304">
    <w:abstractNumId w:val="29"/>
  </w:num>
  <w:num w:numId="26" w16cid:durableId="564142660">
    <w:abstractNumId w:val="22"/>
  </w:num>
  <w:num w:numId="27" w16cid:durableId="1573152934">
    <w:abstractNumId w:val="19"/>
  </w:num>
  <w:num w:numId="28" w16cid:durableId="1972130166">
    <w:abstractNumId w:val="26"/>
  </w:num>
  <w:num w:numId="29" w16cid:durableId="1510021234">
    <w:abstractNumId w:val="4"/>
  </w:num>
  <w:num w:numId="30" w16cid:durableId="285240725">
    <w:abstractNumId w:val="16"/>
  </w:num>
  <w:num w:numId="31" w16cid:durableId="794178150">
    <w:abstractNumId w:val="5"/>
  </w:num>
  <w:num w:numId="32" w16cid:durableId="1074010180">
    <w:abstractNumId w:val="32"/>
  </w:num>
  <w:num w:numId="33" w16cid:durableId="1545829932">
    <w:abstractNumId w:val="33"/>
  </w:num>
  <w:num w:numId="34" w16cid:durableId="1259825081">
    <w:abstractNumId w:val="17"/>
    <w:lvlOverride w:ilvl="0">
      <w:startOverride w:val="1"/>
    </w:lvlOverride>
  </w:num>
  <w:num w:numId="35" w16cid:durableId="1213539350">
    <w:abstractNumId w:val="6"/>
  </w:num>
  <w:num w:numId="36" w16cid:durableId="249117692">
    <w:abstractNumId w:val="13"/>
  </w:num>
  <w:num w:numId="37" w16cid:durableId="66341102">
    <w:abstractNumId w:val="8"/>
  </w:num>
  <w:num w:numId="38" w16cid:durableId="161091137">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5733D"/>
    <w:rsid w:val="000000DA"/>
    <w:rsid w:val="00001ADA"/>
    <w:rsid w:val="00001B8D"/>
    <w:rsid w:val="00001C9B"/>
    <w:rsid w:val="000023A9"/>
    <w:rsid w:val="000040DC"/>
    <w:rsid w:val="000073D8"/>
    <w:rsid w:val="000078C7"/>
    <w:rsid w:val="00010155"/>
    <w:rsid w:val="00010810"/>
    <w:rsid w:val="00010FF7"/>
    <w:rsid w:val="00012922"/>
    <w:rsid w:val="000151EF"/>
    <w:rsid w:val="00016D2F"/>
    <w:rsid w:val="0001793A"/>
    <w:rsid w:val="0002012B"/>
    <w:rsid w:val="0002112A"/>
    <w:rsid w:val="00022915"/>
    <w:rsid w:val="000233AF"/>
    <w:rsid w:val="000239F5"/>
    <w:rsid w:val="000256CD"/>
    <w:rsid w:val="000263E4"/>
    <w:rsid w:val="00026CBD"/>
    <w:rsid w:val="000335CE"/>
    <w:rsid w:val="00034ACF"/>
    <w:rsid w:val="00035F26"/>
    <w:rsid w:val="0004385D"/>
    <w:rsid w:val="00043A79"/>
    <w:rsid w:val="000448BB"/>
    <w:rsid w:val="00045CE8"/>
    <w:rsid w:val="000553DA"/>
    <w:rsid w:val="0005657A"/>
    <w:rsid w:val="00057C93"/>
    <w:rsid w:val="00060F5A"/>
    <w:rsid w:val="000611C1"/>
    <w:rsid w:val="000659E4"/>
    <w:rsid w:val="00073B04"/>
    <w:rsid w:val="000743BE"/>
    <w:rsid w:val="00075635"/>
    <w:rsid w:val="000803E2"/>
    <w:rsid w:val="00081C9F"/>
    <w:rsid w:val="00083023"/>
    <w:rsid w:val="00085297"/>
    <w:rsid w:val="0008612A"/>
    <w:rsid w:val="00087807"/>
    <w:rsid w:val="00090E18"/>
    <w:rsid w:val="00091D89"/>
    <w:rsid w:val="000A0ABB"/>
    <w:rsid w:val="000A10BC"/>
    <w:rsid w:val="000A13F2"/>
    <w:rsid w:val="000A542C"/>
    <w:rsid w:val="000B0056"/>
    <w:rsid w:val="000B082A"/>
    <w:rsid w:val="000B3BE6"/>
    <w:rsid w:val="000B4540"/>
    <w:rsid w:val="000B7F79"/>
    <w:rsid w:val="000C2684"/>
    <w:rsid w:val="000C3C7B"/>
    <w:rsid w:val="000D0F93"/>
    <w:rsid w:val="000D1919"/>
    <w:rsid w:val="000D19F0"/>
    <w:rsid w:val="000D327D"/>
    <w:rsid w:val="000D360E"/>
    <w:rsid w:val="000D4511"/>
    <w:rsid w:val="000D6A7E"/>
    <w:rsid w:val="000E4551"/>
    <w:rsid w:val="000E4CEA"/>
    <w:rsid w:val="000F3171"/>
    <w:rsid w:val="000F6A3A"/>
    <w:rsid w:val="000F6FE2"/>
    <w:rsid w:val="000F7546"/>
    <w:rsid w:val="00101608"/>
    <w:rsid w:val="001026E4"/>
    <w:rsid w:val="00104F69"/>
    <w:rsid w:val="00105357"/>
    <w:rsid w:val="00106416"/>
    <w:rsid w:val="001073DE"/>
    <w:rsid w:val="0010792E"/>
    <w:rsid w:val="00110481"/>
    <w:rsid w:val="00110EF3"/>
    <w:rsid w:val="001127C9"/>
    <w:rsid w:val="00113EB0"/>
    <w:rsid w:val="00113FA5"/>
    <w:rsid w:val="00115B88"/>
    <w:rsid w:val="00117930"/>
    <w:rsid w:val="00122FC8"/>
    <w:rsid w:val="00126A88"/>
    <w:rsid w:val="001272CA"/>
    <w:rsid w:val="00127911"/>
    <w:rsid w:val="00132CA4"/>
    <w:rsid w:val="00132DBB"/>
    <w:rsid w:val="00132F6A"/>
    <w:rsid w:val="00133913"/>
    <w:rsid w:val="00136051"/>
    <w:rsid w:val="001377E8"/>
    <w:rsid w:val="00140221"/>
    <w:rsid w:val="00141043"/>
    <w:rsid w:val="0014236A"/>
    <w:rsid w:val="00143182"/>
    <w:rsid w:val="001466AC"/>
    <w:rsid w:val="0014766A"/>
    <w:rsid w:val="00152049"/>
    <w:rsid w:val="001525BA"/>
    <w:rsid w:val="00153413"/>
    <w:rsid w:val="00153B8C"/>
    <w:rsid w:val="001548AB"/>
    <w:rsid w:val="001610B4"/>
    <w:rsid w:val="001642FC"/>
    <w:rsid w:val="0016496B"/>
    <w:rsid w:val="001655EA"/>
    <w:rsid w:val="0016665A"/>
    <w:rsid w:val="00166AFF"/>
    <w:rsid w:val="00173F9A"/>
    <w:rsid w:val="001743E2"/>
    <w:rsid w:val="001745F8"/>
    <w:rsid w:val="00174C0C"/>
    <w:rsid w:val="0017745C"/>
    <w:rsid w:val="00177E12"/>
    <w:rsid w:val="00182F12"/>
    <w:rsid w:val="001838CF"/>
    <w:rsid w:val="00184543"/>
    <w:rsid w:val="00184891"/>
    <w:rsid w:val="001868EE"/>
    <w:rsid w:val="00190121"/>
    <w:rsid w:val="00192309"/>
    <w:rsid w:val="00196992"/>
    <w:rsid w:val="001A0454"/>
    <w:rsid w:val="001A2296"/>
    <w:rsid w:val="001A3BA4"/>
    <w:rsid w:val="001A3BB0"/>
    <w:rsid w:val="001A6D1F"/>
    <w:rsid w:val="001B02C6"/>
    <w:rsid w:val="001B258E"/>
    <w:rsid w:val="001B58B3"/>
    <w:rsid w:val="001B5FCA"/>
    <w:rsid w:val="001B6BA2"/>
    <w:rsid w:val="001B74D1"/>
    <w:rsid w:val="001C0FB1"/>
    <w:rsid w:val="001C1DBE"/>
    <w:rsid w:val="001C4F1F"/>
    <w:rsid w:val="001C6030"/>
    <w:rsid w:val="001D28FD"/>
    <w:rsid w:val="001E26DE"/>
    <w:rsid w:val="001E30F6"/>
    <w:rsid w:val="001E3BFA"/>
    <w:rsid w:val="001E6761"/>
    <w:rsid w:val="001F092C"/>
    <w:rsid w:val="001F4F91"/>
    <w:rsid w:val="0020046C"/>
    <w:rsid w:val="002037F0"/>
    <w:rsid w:val="00203BCF"/>
    <w:rsid w:val="00204C12"/>
    <w:rsid w:val="00211395"/>
    <w:rsid w:val="002113AC"/>
    <w:rsid w:val="00211B17"/>
    <w:rsid w:val="002131C1"/>
    <w:rsid w:val="00213A41"/>
    <w:rsid w:val="002146F6"/>
    <w:rsid w:val="00217E0E"/>
    <w:rsid w:val="00217EE5"/>
    <w:rsid w:val="00220A2C"/>
    <w:rsid w:val="0022112C"/>
    <w:rsid w:val="00223319"/>
    <w:rsid w:val="00223FC3"/>
    <w:rsid w:val="002311D3"/>
    <w:rsid w:val="00232F8A"/>
    <w:rsid w:val="00233800"/>
    <w:rsid w:val="00235F5C"/>
    <w:rsid w:val="002366CF"/>
    <w:rsid w:val="002439DE"/>
    <w:rsid w:val="002542A4"/>
    <w:rsid w:val="0025733D"/>
    <w:rsid w:val="00257FA3"/>
    <w:rsid w:val="002712C2"/>
    <w:rsid w:val="00271CC9"/>
    <w:rsid w:val="00273A52"/>
    <w:rsid w:val="002751B2"/>
    <w:rsid w:val="00276A69"/>
    <w:rsid w:val="00277B56"/>
    <w:rsid w:val="002805EC"/>
    <w:rsid w:val="002810E1"/>
    <w:rsid w:val="00283A16"/>
    <w:rsid w:val="00284E1F"/>
    <w:rsid w:val="00295D40"/>
    <w:rsid w:val="00296004"/>
    <w:rsid w:val="00296534"/>
    <w:rsid w:val="002972F5"/>
    <w:rsid w:val="002A19F5"/>
    <w:rsid w:val="002A45AB"/>
    <w:rsid w:val="002A5891"/>
    <w:rsid w:val="002B0304"/>
    <w:rsid w:val="002B18C3"/>
    <w:rsid w:val="002B1C64"/>
    <w:rsid w:val="002B4922"/>
    <w:rsid w:val="002B4BD5"/>
    <w:rsid w:val="002B505D"/>
    <w:rsid w:val="002B628A"/>
    <w:rsid w:val="002C1DB9"/>
    <w:rsid w:val="002C22C3"/>
    <w:rsid w:val="002C2D19"/>
    <w:rsid w:val="002C316B"/>
    <w:rsid w:val="002C692C"/>
    <w:rsid w:val="002D10FA"/>
    <w:rsid w:val="002D3076"/>
    <w:rsid w:val="002D4C55"/>
    <w:rsid w:val="002D51DE"/>
    <w:rsid w:val="002D5455"/>
    <w:rsid w:val="002E1B16"/>
    <w:rsid w:val="002E6DED"/>
    <w:rsid w:val="002F47CA"/>
    <w:rsid w:val="002F5F53"/>
    <w:rsid w:val="00300956"/>
    <w:rsid w:val="003070C8"/>
    <w:rsid w:val="003153D0"/>
    <w:rsid w:val="00315655"/>
    <w:rsid w:val="0031612C"/>
    <w:rsid w:val="00317187"/>
    <w:rsid w:val="00320509"/>
    <w:rsid w:val="003205B1"/>
    <w:rsid w:val="00320748"/>
    <w:rsid w:val="00320C0B"/>
    <w:rsid w:val="003210F6"/>
    <w:rsid w:val="00321A2F"/>
    <w:rsid w:val="00323C7E"/>
    <w:rsid w:val="0032499A"/>
    <w:rsid w:val="00324D44"/>
    <w:rsid w:val="003341F7"/>
    <w:rsid w:val="00334A8D"/>
    <w:rsid w:val="0033545E"/>
    <w:rsid w:val="00343F34"/>
    <w:rsid w:val="00347287"/>
    <w:rsid w:val="00347FEC"/>
    <w:rsid w:val="00351037"/>
    <w:rsid w:val="00353814"/>
    <w:rsid w:val="00356F45"/>
    <w:rsid w:val="0035758D"/>
    <w:rsid w:val="0036225A"/>
    <w:rsid w:val="00362616"/>
    <w:rsid w:val="00363164"/>
    <w:rsid w:val="003645BD"/>
    <w:rsid w:val="00366B74"/>
    <w:rsid w:val="003675A1"/>
    <w:rsid w:val="00372309"/>
    <w:rsid w:val="00372FC1"/>
    <w:rsid w:val="00377CA0"/>
    <w:rsid w:val="00380DED"/>
    <w:rsid w:val="00386C61"/>
    <w:rsid w:val="00386F88"/>
    <w:rsid w:val="00387ACB"/>
    <w:rsid w:val="00387CAD"/>
    <w:rsid w:val="00394E95"/>
    <w:rsid w:val="00396088"/>
    <w:rsid w:val="00396D03"/>
    <w:rsid w:val="00396FB3"/>
    <w:rsid w:val="003A0BE2"/>
    <w:rsid w:val="003A5192"/>
    <w:rsid w:val="003A710A"/>
    <w:rsid w:val="003A7AE3"/>
    <w:rsid w:val="003B1612"/>
    <w:rsid w:val="003B1A1E"/>
    <w:rsid w:val="003B336B"/>
    <w:rsid w:val="003B4F63"/>
    <w:rsid w:val="003B4F65"/>
    <w:rsid w:val="003B5233"/>
    <w:rsid w:val="003B659E"/>
    <w:rsid w:val="003C1945"/>
    <w:rsid w:val="003C1997"/>
    <w:rsid w:val="003C1F99"/>
    <w:rsid w:val="003C275E"/>
    <w:rsid w:val="003C409B"/>
    <w:rsid w:val="003C4971"/>
    <w:rsid w:val="003C4FDE"/>
    <w:rsid w:val="003C6304"/>
    <w:rsid w:val="003C6FC1"/>
    <w:rsid w:val="003C74C2"/>
    <w:rsid w:val="003D5D46"/>
    <w:rsid w:val="003E58DF"/>
    <w:rsid w:val="003E5CAC"/>
    <w:rsid w:val="003E5F7A"/>
    <w:rsid w:val="003E6417"/>
    <w:rsid w:val="003E6804"/>
    <w:rsid w:val="003E6E3F"/>
    <w:rsid w:val="003F1771"/>
    <w:rsid w:val="003F6902"/>
    <w:rsid w:val="00403018"/>
    <w:rsid w:val="00404C4C"/>
    <w:rsid w:val="004060C0"/>
    <w:rsid w:val="0041423F"/>
    <w:rsid w:val="00414589"/>
    <w:rsid w:val="00414F81"/>
    <w:rsid w:val="0041630F"/>
    <w:rsid w:val="00416802"/>
    <w:rsid w:val="00417270"/>
    <w:rsid w:val="00417D99"/>
    <w:rsid w:val="004254CA"/>
    <w:rsid w:val="00431CB0"/>
    <w:rsid w:val="00436A0F"/>
    <w:rsid w:val="00436EDA"/>
    <w:rsid w:val="00437150"/>
    <w:rsid w:val="0043750A"/>
    <w:rsid w:val="00440477"/>
    <w:rsid w:val="004407DB"/>
    <w:rsid w:val="00442A40"/>
    <w:rsid w:val="00443187"/>
    <w:rsid w:val="00443477"/>
    <w:rsid w:val="00444789"/>
    <w:rsid w:val="004512F5"/>
    <w:rsid w:val="004518C8"/>
    <w:rsid w:val="00452056"/>
    <w:rsid w:val="004540BD"/>
    <w:rsid w:val="00457AD9"/>
    <w:rsid w:val="00461C57"/>
    <w:rsid w:val="00462F52"/>
    <w:rsid w:val="004643EA"/>
    <w:rsid w:val="00467C07"/>
    <w:rsid w:val="004732E9"/>
    <w:rsid w:val="004752F8"/>
    <w:rsid w:val="004769C4"/>
    <w:rsid w:val="0048361F"/>
    <w:rsid w:val="004854BB"/>
    <w:rsid w:val="00486C83"/>
    <w:rsid w:val="00486F59"/>
    <w:rsid w:val="00495899"/>
    <w:rsid w:val="00496606"/>
    <w:rsid w:val="004968A0"/>
    <w:rsid w:val="004978B1"/>
    <w:rsid w:val="004A1243"/>
    <w:rsid w:val="004A1285"/>
    <w:rsid w:val="004B7120"/>
    <w:rsid w:val="004C02A8"/>
    <w:rsid w:val="004C322B"/>
    <w:rsid w:val="004C41C8"/>
    <w:rsid w:val="004D0152"/>
    <w:rsid w:val="004D4997"/>
    <w:rsid w:val="004D5488"/>
    <w:rsid w:val="004E14EF"/>
    <w:rsid w:val="004E2C4F"/>
    <w:rsid w:val="004E3179"/>
    <w:rsid w:val="004E4D0A"/>
    <w:rsid w:val="004E534C"/>
    <w:rsid w:val="004E5E66"/>
    <w:rsid w:val="004E6357"/>
    <w:rsid w:val="004E6741"/>
    <w:rsid w:val="004E78F1"/>
    <w:rsid w:val="004E7ADB"/>
    <w:rsid w:val="004F04B7"/>
    <w:rsid w:val="004F29DB"/>
    <w:rsid w:val="004F3AA9"/>
    <w:rsid w:val="004F411A"/>
    <w:rsid w:val="004F4EED"/>
    <w:rsid w:val="004F547A"/>
    <w:rsid w:val="004F6C43"/>
    <w:rsid w:val="0050122D"/>
    <w:rsid w:val="005031A4"/>
    <w:rsid w:val="00503B4D"/>
    <w:rsid w:val="00504988"/>
    <w:rsid w:val="00504EE9"/>
    <w:rsid w:val="00506F5C"/>
    <w:rsid w:val="0051027F"/>
    <w:rsid w:val="00512F6F"/>
    <w:rsid w:val="0051606C"/>
    <w:rsid w:val="00516D7E"/>
    <w:rsid w:val="0051733D"/>
    <w:rsid w:val="00521576"/>
    <w:rsid w:val="00521676"/>
    <w:rsid w:val="00521BAF"/>
    <w:rsid w:val="005250E6"/>
    <w:rsid w:val="0053138D"/>
    <w:rsid w:val="0054015A"/>
    <w:rsid w:val="00542D23"/>
    <w:rsid w:val="0054442C"/>
    <w:rsid w:val="00546C4D"/>
    <w:rsid w:val="00547408"/>
    <w:rsid w:val="00550285"/>
    <w:rsid w:val="00552CF0"/>
    <w:rsid w:val="00562492"/>
    <w:rsid w:val="00565233"/>
    <w:rsid w:val="0057150D"/>
    <w:rsid w:val="005729CA"/>
    <w:rsid w:val="00572A20"/>
    <w:rsid w:val="005741AE"/>
    <w:rsid w:val="00575BDB"/>
    <w:rsid w:val="0057703E"/>
    <w:rsid w:val="00577FFD"/>
    <w:rsid w:val="0058077A"/>
    <w:rsid w:val="005836F8"/>
    <w:rsid w:val="00586C30"/>
    <w:rsid w:val="005918FA"/>
    <w:rsid w:val="00591AFA"/>
    <w:rsid w:val="00592439"/>
    <w:rsid w:val="00592A86"/>
    <w:rsid w:val="00593CE3"/>
    <w:rsid w:val="005959FB"/>
    <w:rsid w:val="005A0D03"/>
    <w:rsid w:val="005A40FE"/>
    <w:rsid w:val="005B04BC"/>
    <w:rsid w:val="005B2CEA"/>
    <w:rsid w:val="005B4801"/>
    <w:rsid w:val="005B4D12"/>
    <w:rsid w:val="005B5A47"/>
    <w:rsid w:val="005B6065"/>
    <w:rsid w:val="005C01CF"/>
    <w:rsid w:val="005C128B"/>
    <w:rsid w:val="005C23A4"/>
    <w:rsid w:val="005C3466"/>
    <w:rsid w:val="005C72C2"/>
    <w:rsid w:val="005D0619"/>
    <w:rsid w:val="005D07F8"/>
    <w:rsid w:val="005D0955"/>
    <w:rsid w:val="005D179C"/>
    <w:rsid w:val="005D1CDF"/>
    <w:rsid w:val="005D2447"/>
    <w:rsid w:val="005D2BB7"/>
    <w:rsid w:val="005D4A29"/>
    <w:rsid w:val="005D605C"/>
    <w:rsid w:val="005D76FA"/>
    <w:rsid w:val="005E1BC5"/>
    <w:rsid w:val="005E2095"/>
    <w:rsid w:val="005E61A8"/>
    <w:rsid w:val="005F1723"/>
    <w:rsid w:val="005F51A6"/>
    <w:rsid w:val="005F6419"/>
    <w:rsid w:val="005F7B93"/>
    <w:rsid w:val="005F7D54"/>
    <w:rsid w:val="006011B7"/>
    <w:rsid w:val="00602213"/>
    <w:rsid w:val="0060543D"/>
    <w:rsid w:val="0061047E"/>
    <w:rsid w:val="006104DD"/>
    <w:rsid w:val="006116B8"/>
    <w:rsid w:val="00611924"/>
    <w:rsid w:val="006130B5"/>
    <w:rsid w:val="00616EFF"/>
    <w:rsid w:val="00617326"/>
    <w:rsid w:val="00617400"/>
    <w:rsid w:val="00620273"/>
    <w:rsid w:val="00622EB7"/>
    <w:rsid w:val="00623217"/>
    <w:rsid w:val="0062552C"/>
    <w:rsid w:val="0062788F"/>
    <w:rsid w:val="00632D29"/>
    <w:rsid w:val="00632D5E"/>
    <w:rsid w:val="006347F1"/>
    <w:rsid w:val="006359D1"/>
    <w:rsid w:val="006361EB"/>
    <w:rsid w:val="00640551"/>
    <w:rsid w:val="00641C4D"/>
    <w:rsid w:val="00641F61"/>
    <w:rsid w:val="00642D6F"/>
    <w:rsid w:val="00643AB1"/>
    <w:rsid w:val="006457D5"/>
    <w:rsid w:val="00652785"/>
    <w:rsid w:val="00654A4D"/>
    <w:rsid w:val="0065531A"/>
    <w:rsid w:val="006573E5"/>
    <w:rsid w:val="0065790B"/>
    <w:rsid w:val="0066265F"/>
    <w:rsid w:val="00664950"/>
    <w:rsid w:val="00667C4E"/>
    <w:rsid w:val="00670EA1"/>
    <w:rsid w:val="006742F6"/>
    <w:rsid w:val="00681592"/>
    <w:rsid w:val="00683220"/>
    <w:rsid w:val="00684380"/>
    <w:rsid w:val="0068458D"/>
    <w:rsid w:val="006845C4"/>
    <w:rsid w:val="00686FD9"/>
    <w:rsid w:val="00687FA0"/>
    <w:rsid w:val="006907BC"/>
    <w:rsid w:val="00690812"/>
    <w:rsid w:val="006916DA"/>
    <w:rsid w:val="00692D09"/>
    <w:rsid w:val="00692E62"/>
    <w:rsid w:val="00693F35"/>
    <w:rsid w:val="00695DE2"/>
    <w:rsid w:val="006A126E"/>
    <w:rsid w:val="006A2B90"/>
    <w:rsid w:val="006A3C11"/>
    <w:rsid w:val="006A7A38"/>
    <w:rsid w:val="006B7010"/>
    <w:rsid w:val="006C27A7"/>
    <w:rsid w:val="006C3095"/>
    <w:rsid w:val="006C319D"/>
    <w:rsid w:val="006C6E30"/>
    <w:rsid w:val="006D054C"/>
    <w:rsid w:val="006D07D2"/>
    <w:rsid w:val="006D3814"/>
    <w:rsid w:val="006D5353"/>
    <w:rsid w:val="006D56BB"/>
    <w:rsid w:val="006D59A5"/>
    <w:rsid w:val="006D5C18"/>
    <w:rsid w:val="006D6E1B"/>
    <w:rsid w:val="006E04D9"/>
    <w:rsid w:val="006E1151"/>
    <w:rsid w:val="006E32B8"/>
    <w:rsid w:val="006E35B6"/>
    <w:rsid w:val="006E541B"/>
    <w:rsid w:val="006E6311"/>
    <w:rsid w:val="006F0E01"/>
    <w:rsid w:val="006F2EDB"/>
    <w:rsid w:val="006F4639"/>
    <w:rsid w:val="006F4C7F"/>
    <w:rsid w:val="006F6C4B"/>
    <w:rsid w:val="00705FE3"/>
    <w:rsid w:val="00706500"/>
    <w:rsid w:val="007066A1"/>
    <w:rsid w:val="0070753E"/>
    <w:rsid w:val="0071076F"/>
    <w:rsid w:val="007114CA"/>
    <w:rsid w:val="007145FF"/>
    <w:rsid w:val="0071489E"/>
    <w:rsid w:val="00715B2A"/>
    <w:rsid w:val="00720C48"/>
    <w:rsid w:val="00721B00"/>
    <w:rsid w:val="007255D7"/>
    <w:rsid w:val="00726ACD"/>
    <w:rsid w:val="00730623"/>
    <w:rsid w:val="007307B4"/>
    <w:rsid w:val="007316CC"/>
    <w:rsid w:val="0073361B"/>
    <w:rsid w:val="00734551"/>
    <w:rsid w:val="00735651"/>
    <w:rsid w:val="00735EE4"/>
    <w:rsid w:val="00735F16"/>
    <w:rsid w:val="00737F5F"/>
    <w:rsid w:val="007411A4"/>
    <w:rsid w:val="00744D8B"/>
    <w:rsid w:val="007450F1"/>
    <w:rsid w:val="007477D1"/>
    <w:rsid w:val="00750D17"/>
    <w:rsid w:val="00751515"/>
    <w:rsid w:val="00761C56"/>
    <w:rsid w:val="007626B7"/>
    <w:rsid w:val="0076656E"/>
    <w:rsid w:val="0077171D"/>
    <w:rsid w:val="00771E4B"/>
    <w:rsid w:val="007742DA"/>
    <w:rsid w:val="00774841"/>
    <w:rsid w:val="00776887"/>
    <w:rsid w:val="00776F3D"/>
    <w:rsid w:val="00777FA2"/>
    <w:rsid w:val="0078212B"/>
    <w:rsid w:val="00784DF6"/>
    <w:rsid w:val="00785232"/>
    <w:rsid w:val="00785582"/>
    <w:rsid w:val="007875C1"/>
    <w:rsid w:val="00787A6C"/>
    <w:rsid w:val="00795DE3"/>
    <w:rsid w:val="0079730E"/>
    <w:rsid w:val="007A16D2"/>
    <w:rsid w:val="007A73A6"/>
    <w:rsid w:val="007A762F"/>
    <w:rsid w:val="007B16E5"/>
    <w:rsid w:val="007B186C"/>
    <w:rsid w:val="007B4A21"/>
    <w:rsid w:val="007B746B"/>
    <w:rsid w:val="007B7C0E"/>
    <w:rsid w:val="007C132F"/>
    <w:rsid w:val="007C1696"/>
    <w:rsid w:val="007C1D91"/>
    <w:rsid w:val="007C34DA"/>
    <w:rsid w:val="007C36D3"/>
    <w:rsid w:val="007C3D17"/>
    <w:rsid w:val="007C3ED0"/>
    <w:rsid w:val="007C4E51"/>
    <w:rsid w:val="007C5971"/>
    <w:rsid w:val="007C7E29"/>
    <w:rsid w:val="007E184B"/>
    <w:rsid w:val="007E2B04"/>
    <w:rsid w:val="007E3C3C"/>
    <w:rsid w:val="007E3D13"/>
    <w:rsid w:val="007F16FD"/>
    <w:rsid w:val="007F54B9"/>
    <w:rsid w:val="007F6D8C"/>
    <w:rsid w:val="0080027B"/>
    <w:rsid w:val="00802DEB"/>
    <w:rsid w:val="00806A76"/>
    <w:rsid w:val="00811C9D"/>
    <w:rsid w:val="00814B96"/>
    <w:rsid w:val="00814E5B"/>
    <w:rsid w:val="008154E5"/>
    <w:rsid w:val="00816750"/>
    <w:rsid w:val="00816C80"/>
    <w:rsid w:val="00821757"/>
    <w:rsid w:val="008261D6"/>
    <w:rsid w:val="00841BCD"/>
    <w:rsid w:val="00846B72"/>
    <w:rsid w:val="00851A8E"/>
    <w:rsid w:val="00851F13"/>
    <w:rsid w:val="00853296"/>
    <w:rsid w:val="0085365B"/>
    <w:rsid w:val="008544FE"/>
    <w:rsid w:val="00856A96"/>
    <w:rsid w:val="00856EC9"/>
    <w:rsid w:val="00862F84"/>
    <w:rsid w:val="0086340C"/>
    <w:rsid w:val="00865F84"/>
    <w:rsid w:val="00866F4E"/>
    <w:rsid w:val="00867590"/>
    <w:rsid w:val="00872831"/>
    <w:rsid w:val="008729E2"/>
    <w:rsid w:val="008744BE"/>
    <w:rsid w:val="00874CE4"/>
    <w:rsid w:val="00874E67"/>
    <w:rsid w:val="0087629E"/>
    <w:rsid w:val="0088000C"/>
    <w:rsid w:val="008826C1"/>
    <w:rsid w:val="008826E7"/>
    <w:rsid w:val="00883DFD"/>
    <w:rsid w:val="00884C80"/>
    <w:rsid w:val="00885CCA"/>
    <w:rsid w:val="00887D6B"/>
    <w:rsid w:val="0089138D"/>
    <w:rsid w:val="00891F4C"/>
    <w:rsid w:val="0089335A"/>
    <w:rsid w:val="008953D1"/>
    <w:rsid w:val="008A1BF7"/>
    <w:rsid w:val="008A42B7"/>
    <w:rsid w:val="008A562D"/>
    <w:rsid w:val="008A5B0E"/>
    <w:rsid w:val="008B0961"/>
    <w:rsid w:val="008B5055"/>
    <w:rsid w:val="008C2DF0"/>
    <w:rsid w:val="008C45A0"/>
    <w:rsid w:val="008C51DD"/>
    <w:rsid w:val="008D58F4"/>
    <w:rsid w:val="008E3A00"/>
    <w:rsid w:val="008E43BB"/>
    <w:rsid w:val="009001CC"/>
    <w:rsid w:val="00900895"/>
    <w:rsid w:val="0090091A"/>
    <w:rsid w:val="009042BD"/>
    <w:rsid w:val="0091469E"/>
    <w:rsid w:val="00921A74"/>
    <w:rsid w:val="00924569"/>
    <w:rsid w:val="00925F51"/>
    <w:rsid w:val="00930D6F"/>
    <w:rsid w:val="00932C80"/>
    <w:rsid w:val="009344A4"/>
    <w:rsid w:val="0093564D"/>
    <w:rsid w:val="00936051"/>
    <w:rsid w:val="00936159"/>
    <w:rsid w:val="009373CC"/>
    <w:rsid w:val="00940B6E"/>
    <w:rsid w:val="00941EA8"/>
    <w:rsid w:val="009436D3"/>
    <w:rsid w:val="00943C49"/>
    <w:rsid w:val="00945182"/>
    <w:rsid w:val="00946861"/>
    <w:rsid w:val="00952407"/>
    <w:rsid w:val="009528C3"/>
    <w:rsid w:val="00953DE8"/>
    <w:rsid w:val="009574F0"/>
    <w:rsid w:val="00960996"/>
    <w:rsid w:val="0096643F"/>
    <w:rsid w:val="00966799"/>
    <w:rsid w:val="00966DEA"/>
    <w:rsid w:val="00970324"/>
    <w:rsid w:val="00970B9A"/>
    <w:rsid w:val="00972E7C"/>
    <w:rsid w:val="00977E1D"/>
    <w:rsid w:val="00977E69"/>
    <w:rsid w:val="00987477"/>
    <w:rsid w:val="00991A89"/>
    <w:rsid w:val="00992F00"/>
    <w:rsid w:val="009943FF"/>
    <w:rsid w:val="009962AD"/>
    <w:rsid w:val="009972EF"/>
    <w:rsid w:val="009A0119"/>
    <w:rsid w:val="009A1AF0"/>
    <w:rsid w:val="009A2155"/>
    <w:rsid w:val="009A2CCF"/>
    <w:rsid w:val="009A5496"/>
    <w:rsid w:val="009A794E"/>
    <w:rsid w:val="009B0573"/>
    <w:rsid w:val="009B0BAA"/>
    <w:rsid w:val="009B4377"/>
    <w:rsid w:val="009B61A1"/>
    <w:rsid w:val="009B7B4B"/>
    <w:rsid w:val="009B7C21"/>
    <w:rsid w:val="009C226C"/>
    <w:rsid w:val="009C6239"/>
    <w:rsid w:val="009C74FF"/>
    <w:rsid w:val="009D1E68"/>
    <w:rsid w:val="009D3D7F"/>
    <w:rsid w:val="009D5C2C"/>
    <w:rsid w:val="009D6A01"/>
    <w:rsid w:val="009E04C0"/>
    <w:rsid w:val="009E06F6"/>
    <w:rsid w:val="009E2481"/>
    <w:rsid w:val="009E2E0C"/>
    <w:rsid w:val="009E3CC3"/>
    <w:rsid w:val="009E4488"/>
    <w:rsid w:val="009E48A8"/>
    <w:rsid w:val="009F003C"/>
    <w:rsid w:val="009F14FF"/>
    <w:rsid w:val="009F20B3"/>
    <w:rsid w:val="009F5E97"/>
    <w:rsid w:val="009F7315"/>
    <w:rsid w:val="009F7EF8"/>
    <w:rsid w:val="00A01D08"/>
    <w:rsid w:val="00A04992"/>
    <w:rsid w:val="00A055F6"/>
    <w:rsid w:val="00A10AF7"/>
    <w:rsid w:val="00A10D95"/>
    <w:rsid w:val="00A147AA"/>
    <w:rsid w:val="00A15290"/>
    <w:rsid w:val="00A16D50"/>
    <w:rsid w:val="00A21D71"/>
    <w:rsid w:val="00A22B78"/>
    <w:rsid w:val="00A22C86"/>
    <w:rsid w:val="00A22E3C"/>
    <w:rsid w:val="00A25AE5"/>
    <w:rsid w:val="00A272E6"/>
    <w:rsid w:val="00A27E4F"/>
    <w:rsid w:val="00A32D4C"/>
    <w:rsid w:val="00A34037"/>
    <w:rsid w:val="00A37002"/>
    <w:rsid w:val="00A37332"/>
    <w:rsid w:val="00A41310"/>
    <w:rsid w:val="00A423B8"/>
    <w:rsid w:val="00A4355E"/>
    <w:rsid w:val="00A43F29"/>
    <w:rsid w:val="00A43F90"/>
    <w:rsid w:val="00A45029"/>
    <w:rsid w:val="00A50790"/>
    <w:rsid w:val="00A52559"/>
    <w:rsid w:val="00A52ADE"/>
    <w:rsid w:val="00A52E91"/>
    <w:rsid w:val="00A5456F"/>
    <w:rsid w:val="00A61FB2"/>
    <w:rsid w:val="00A6516E"/>
    <w:rsid w:val="00A67EFA"/>
    <w:rsid w:val="00A708E8"/>
    <w:rsid w:val="00A712F0"/>
    <w:rsid w:val="00A71BDA"/>
    <w:rsid w:val="00A722EE"/>
    <w:rsid w:val="00A73FC7"/>
    <w:rsid w:val="00A748D5"/>
    <w:rsid w:val="00A74CC2"/>
    <w:rsid w:val="00A808A7"/>
    <w:rsid w:val="00A82AFD"/>
    <w:rsid w:val="00A83223"/>
    <w:rsid w:val="00A834EC"/>
    <w:rsid w:val="00A836A5"/>
    <w:rsid w:val="00A86756"/>
    <w:rsid w:val="00A90CF6"/>
    <w:rsid w:val="00A92BCD"/>
    <w:rsid w:val="00A96BBA"/>
    <w:rsid w:val="00A97391"/>
    <w:rsid w:val="00AA10F2"/>
    <w:rsid w:val="00AA17DC"/>
    <w:rsid w:val="00AA1B0E"/>
    <w:rsid w:val="00AA31FF"/>
    <w:rsid w:val="00AA47B6"/>
    <w:rsid w:val="00AA6A59"/>
    <w:rsid w:val="00AA7402"/>
    <w:rsid w:val="00AA76BA"/>
    <w:rsid w:val="00AB15BD"/>
    <w:rsid w:val="00AB3BDB"/>
    <w:rsid w:val="00AC163B"/>
    <w:rsid w:val="00AC293D"/>
    <w:rsid w:val="00AC2E25"/>
    <w:rsid w:val="00AC3E2D"/>
    <w:rsid w:val="00AC4540"/>
    <w:rsid w:val="00AC5CA7"/>
    <w:rsid w:val="00AC5E80"/>
    <w:rsid w:val="00AC6058"/>
    <w:rsid w:val="00AC64F2"/>
    <w:rsid w:val="00AC766A"/>
    <w:rsid w:val="00AD4E4A"/>
    <w:rsid w:val="00AE0F7E"/>
    <w:rsid w:val="00AE2BA5"/>
    <w:rsid w:val="00AE56B1"/>
    <w:rsid w:val="00AE6D09"/>
    <w:rsid w:val="00AF2919"/>
    <w:rsid w:val="00AF2BCA"/>
    <w:rsid w:val="00AF7031"/>
    <w:rsid w:val="00AF748A"/>
    <w:rsid w:val="00AF755E"/>
    <w:rsid w:val="00AF7A7C"/>
    <w:rsid w:val="00B01AC0"/>
    <w:rsid w:val="00B02845"/>
    <w:rsid w:val="00B04D70"/>
    <w:rsid w:val="00B0549B"/>
    <w:rsid w:val="00B13CD6"/>
    <w:rsid w:val="00B17FA3"/>
    <w:rsid w:val="00B20888"/>
    <w:rsid w:val="00B24CD6"/>
    <w:rsid w:val="00B27C2C"/>
    <w:rsid w:val="00B312FB"/>
    <w:rsid w:val="00B33243"/>
    <w:rsid w:val="00B338D7"/>
    <w:rsid w:val="00B35015"/>
    <w:rsid w:val="00B40365"/>
    <w:rsid w:val="00B408B6"/>
    <w:rsid w:val="00B424CA"/>
    <w:rsid w:val="00B43571"/>
    <w:rsid w:val="00B44325"/>
    <w:rsid w:val="00B44371"/>
    <w:rsid w:val="00B45698"/>
    <w:rsid w:val="00B46206"/>
    <w:rsid w:val="00B50C51"/>
    <w:rsid w:val="00B52E8A"/>
    <w:rsid w:val="00B5308D"/>
    <w:rsid w:val="00B53DB6"/>
    <w:rsid w:val="00B542DA"/>
    <w:rsid w:val="00B54F61"/>
    <w:rsid w:val="00B56AE7"/>
    <w:rsid w:val="00B56E3A"/>
    <w:rsid w:val="00B57C5A"/>
    <w:rsid w:val="00B62093"/>
    <w:rsid w:val="00B63602"/>
    <w:rsid w:val="00B65CAB"/>
    <w:rsid w:val="00B677B2"/>
    <w:rsid w:val="00B67FC1"/>
    <w:rsid w:val="00B7363D"/>
    <w:rsid w:val="00B73862"/>
    <w:rsid w:val="00B73F43"/>
    <w:rsid w:val="00B79BA2"/>
    <w:rsid w:val="00B81498"/>
    <w:rsid w:val="00B817A8"/>
    <w:rsid w:val="00B82468"/>
    <w:rsid w:val="00B83841"/>
    <w:rsid w:val="00B84114"/>
    <w:rsid w:val="00B90549"/>
    <w:rsid w:val="00B921B6"/>
    <w:rsid w:val="00B92F72"/>
    <w:rsid w:val="00B943B2"/>
    <w:rsid w:val="00B95A0B"/>
    <w:rsid w:val="00B97D39"/>
    <w:rsid w:val="00BA0828"/>
    <w:rsid w:val="00BA0BE2"/>
    <w:rsid w:val="00BA4F59"/>
    <w:rsid w:val="00BA61AC"/>
    <w:rsid w:val="00BA6B66"/>
    <w:rsid w:val="00BA6E48"/>
    <w:rsid w:val="00BA7589"/>
    <w:rsid w:val="00BB5951"/>
    <w:rsid w:val="00BB734B"/>
    <w:rsid w:val="00BC484A"/>
    <w:rsid w:val="00BC5EDD"/>
    <w:rsid w:val="00BC7FEE"/>
    <w:rsid w:val="00BD41F7"/>
    <w:rsid w:val="00BD656C"/>
    <w:rsid w:val="00BD6D06"/>
    <w:rsid w:val="00BD7166"/>
    <w:rsid w:val="00BE09CE"/>
    <w:rsid w:val="00BE0AC5"/>
    <w:rsid w:val="00BE0AF6"/>
    <w:rsid w:val="00BE1F03"/>
    <w:rsid w:val="00BE2316"/>
    <w:rsid w:val="00BE58A7"/>
    <w:rsid w:val="00BE684F"/>
    <w:rsid w:val="00BE7300"/>
    <w:rsid w:val="00BF0B79"/>
    <w:rsid w:val="00BF2218"/>
    <w:rsid w:val="00BF36E6"/>
    <w:rsid w:val="00BF431A"/>
    <w:rsid w:val="00C00302"/>
    <w:rsid w:val="00C02F87"/>
    <w:rsid w:val="00C0426B"/>
    <w:rsid w:val="00C045DF"/>
    <w:rsid w:val="00C04FC6"/>
    <w:rsid w:val="00C1137E"/>
    <w:rsid w:val="00C120CF"/>
    <w:rsid w:val="00C12123"/>
    <w:rsid w:val="00C122EF"/>
    <w:rsid w:val="00C13CF3"/>
    <w:rsid w:val="00C146A4"/>
    <w:rsid w:val="00C14910"/>
    <w:rsid w:val="00C21B88"/>
    <w:rsid w:val="00C21F87"/>
    <w:rsid w:val="00C26177"/>
    <w:rsid w:val="00C26D43"/>
    <w:rsid w:val="00C40DFA"/>
    <w:rsid w:val="00C43319"/>
    <w:rsid w:val="00C4573D"/>
    <w:rsid w:val="00C45DB1"/>
    <w:rsid w:val="00C46548"/>
    <w:rsid w:val="00C51BE5"/>
    <w:rsid w:val="00C52CDD"/>
    <w:rsid w:val="00C52EFB"/>
    <w:rsid w:val="00C55B44"/>
    <w:rsid w:val="00C56E68"/>
    <w:rsid w:val="00C574D5"/>
    <w:rsid w:val="00C61A9E"/>
    <w:rsid w:val="00C63981"/>
    <w:rsid w:val="00C64002"/>
    <w:rsid w:val="00C6666E"/>
    <w:rsid w:val="00C66F01"/>
    <w:rsid w:val="00C673AE"/>
    <w:rsid w:val="00C67BC3"/>
    <w:rsid w:val="00C70191"/>
    <w:rsid w:val="00C71378"/>
    <w:rsid w:val="00C73F32"/>
    <w:rsid w:val="00C74207"/>
    <w:rsid w:val="00C74B68"/>
    <w:rsid w:val="00C80968"/>
    <w:rsid w:val="00C83B8E"/>
    <w:rsid w:val="00C86580"/>
    <w:rsid w:val="00C87462"/>
    <w:rsid w:val="00C92A9B"/>
    <w:rsid w:val="00C97A4C"/>
    <w:rsid w:val="00CA180C"/>
    <w:rsid w:val="00CA3932"/>
    <w:rsid w:val="00CB0B3B"/>
    <w:rsid w:val="00CB22B2"/>
    <w:rsid w:val="00CC12EA"/>
    <w:rsid w:val="00CC13C4"/>
    <w:rsid w:val="00CC1A0B"/>
    <w:rsid w:val="00CC3EE2"/>
    <w:rsid w:val="00CD06E9"/>
    <w:rsid w:val="00CD23EE"/>
    <w:rsid w:val="00CD33A0"/>
    <w:rsid w:val="00CD7492"/>
    <w:rsid w:val="00CE1BEB"/>
    <w:rsid w:val="00CE29D3"/>
    <w:rsid w:val="00CE3A6B"/>
    <w:rsid w:val="00CE4E6E"/>
    <w:rsid w:val="00CE50EE"/>
    <w:rsid w:val="00CE6F3E"/>
    <w:rsid w:val="00CF092C"/>
    <w:rsid w:val="00CF1009"/>
    <w:rsid w:val="00CF1165"/>
    <w:rsid w:val="00CF4798"/>
    <w:rsid w:val="00CF6329"/>
    <w:rsid w:val="00D00211"/>
    <w:rsid w:val="00D03CA7"/>
    <w:rsid w:val="00D03D06"/>
    <w:rsid w:val="00D03F20"/>
    <w:rsid w:val="00D06309"/>
    <w:rsid w:val="00D06542"/>
    <w:rsid w:val="00D104F1"/>
    <w:rsid w:val="00D12C0C"/>
    <w:rsid w:val="00D12C44"/>
    <w:rsid w:val="00D14F3D"/>
    <w:rsid w:val="00D16FD8"/>
    <w:rsid w:val="00D212E5"/>
    <w:rsid w:val="00D21A1C"/>
    <w:rsid w:val="00D3351A"/>
    <w:rsid w:val="00D33872"/>
    <w:rsid w:val="00D340DA"/>
    <w:rsid w:val="00D351EA"/>
    <w:rsid w:val="00D356CB"/>
    <w:rsid w:val="00D37F5A"/>
    <w:rsid w:val="00D40288"/>
    <w:rsid w:val="00D42A70"/>
    <w:rsid w:val="00D43403"/>
    <w:rsid w:val="00D50463"/>
    <w:rsid w:val="00D520D9"/>
    <w:rsid w:val="00D5270B"/>
    <w:rsid w:val="00D53E57"/>
    <w:rsid w:val="00D542D6"/>
    <w:rsid w:val="00D61B9A"/>
    <w:rsid w:val="00D6295D"/>
    <w:rsid w:val="00D62E71"/>
    <w:rsid w:val="00D63DED"/>
    <w:rsid w:val="00D6430D"/>
    <w:rsid w:val="00D64996"/>
    <w:rsid w:val="00D64F81"/>
    <w:rsid w:val="00D65C31"/>
    <w:rsid w:val="00D66188"/>
    <w:rsid w:val="00D674B3"/>
    <w:rsid w:val="00D731F6"/>
    <w:rsid w:val="00D7339B"/>
    <w:rsid w:val="00D740CA"/>
    <w:rsid w:val="00D74130"/>
    <w:rsid w:val="00D74D23"/>
    <w:rsid w:val="00D7775E"/>
    <w:rsid w:val="00D77AD9"/>
    <w:rsid w:val="00D83E13"/>
    <w:rsid w:val="00D84607"/>
    <w:rsid w:val="00D84791"/>
    <w:rsid w:val="00D85581"/>
    <w:rsid w:val="00D85728"/>
    <w:rsid w:val="00D90138"/>
    <w:rsid w:val="00D90FCB"/>
    <w:rsid w:val="00D94CB8"/>
    <w:rsid w:val="00D95481"/>
    <w:rsid w:val="00D9579A"/>
    <w:rsid w:val="00DA2FA1"/>
    <w:rsid w:val="00DA404F"/>
    <w:rsid w:val="00DA7271"/>
    <w:rsid w:val="00DB1BC4"/>
    <w:rsid w:val="00DB53FE"/>
    <w:rsid w:val="00DB61C8"/>
    <w:rsid w:val="00DB77C7"/>
    <w:rsid w:val="00DC1554"/>
    <w:rsid w:val="00DC45ED"/>
    <w:rsid w:val="00DC7A13"/>
    <w:rsid w:val="00DD05C3"/>
    <w:rsid w:val="00DD167D"/>
    <w:rsid w:val="00DD4455"/>
    <w:rsid w:val="00DD702E"/>
    <w:rsid w:val="00DE394F"/>
    <w:rsid w:val="00DE63F9"/>
    <w:rsid w:val="00DF172A"/>
    <w:rsid w:val="00DF2997"/>
    <w:rsid w:val="00DF2C5E"/>
    <w:rsid w:val="00DF2EF3"/>
    <w:rsid w:val="00DF3034"/>
    <w:rsid w:val="00DF3EEF"/>
    <w:rsid w:val="00E024EB"/>
    <w:rsid w:val="00E033B6"/>
    <w:rsid w:val="00E041BE"/>
    <w:rsid w:val="00E0422B"/>
    <w:rsid w:val="00E05E57"/>
    <w:rsid w:val="00E066A5"/>
    <w:rsid w:val="00E067CE"/>
    <w:rsid w:val="00E069DA"/>
    <w:rsid w:val="00E072B5"/>
    <w:rsid w:val="00E07DD2"/>
    <w:rsid w:val="00E10BC4"/>
    <w:rsid w:val="00E13D83"/>
    <w:rsid w:val="00E1415D"/>
    <w:rsid w:val="00E20484"/>
    <w:rsid w:val="00E323E9"/>
    <w:rsid w:val="00E33A8C"/>
    <w:rsid w:val="00E34018"/>
    <w:rsid w:val="00E35C20"/>
    <w:rsid w:val="00E3683D"/>
    <w:rsid w:val="00E37896"/>
    <w:rsid w:val="00E4080C"/>
    <w:rsid w:val="00E43203"/>
    <w:rsid w:val="00E437D2"/>
    <w:rsid w:val="00E44208"/>
    <w:rsid w:val="00E52A13"/>
    <w:rsid w:val="00E55382"/>
    <w:rsid w:val="00E55383"/>
    <w:rsid w:val="00E55751"/>
    <w:rsid w:val="00E56761"/>
    <w:rsid w:val="00E57BEB"/>
    <w:rsid w:val="00E6472A"/>
    <w:rsid w:val="00E66C2A"/>
    <w:rsid w:val="00E701BC"/>
    <w:rsid w:val="00E72D99"/>
    <w:rsid w:val="00E74E31"/>
    <w:rsid w:val="00E75681"/>
    <w:rsid w:val="00E76813"/>
    <w:rsid w:val="00E82D04"/>
    <w:rsid w:val="00E84697"/>
    <w:rsid w:val="00E85E33"/>
    <w:rsid w:val="00E8678D"/>
    <w:rsid w:val="00E95AFE"/>
    <w:rsid w:val="00EA2311"/>
    <w:rsid w:val="00EA3AF4"/>
    <w:rsid w:val="00EA6AFD"/>
    <w:rsid w:val="00EB1AEC"/>
    <w:rsid w:val="00EB3511"/>
    <w:rsid w:val="00EB73F7"/>
    <w:rsid w:val="00EC125A"/>
    <w:rsid w:val="00EC5482"/>
    <w:rsid w:val="00EC5521"/>
    <w:rsid w:val="00EC5AA6"/>
    <w:rsid w:val="00EC7BC3"/>
    <w:rsid w:val="00ED0340"/>
    <w:rsid w:val="00ED1669"/>
    <w:rsid w:val="00ED49EA"/>
    <w:rsid w:val="00ED605F"/>
    <w:rsid w:val="00ED7600"/>
    <w:rsid w:val="00EE51CE"/>
    <w:rsid w:val="00EF1AD5"/>
    <w:rsid w:val="00EF3991"/>
    <w:rsid w:val="00EF5C5F"/>
    <w:rsid w:val="00EF5E67"/>
    <w:rsid w:val="00EF6073"/>
    <w:rsid w:val="00EF64B1"/>
    <w:rsid w:val="00EF659A"/>
    <w:rsid w:val="00EF698B"/>
    <w:rsid w:val="00F009EA"/>
    <w:rsid w:val="00F01106"/>
    <w:rsid w:val="00F024FB"/>
    <w:rsid w:val="00F03CE6"/>
    <w:rsid w:val="00F12598"/>
    <w:rsid w:val="00F125FC"/>
    <w:rsid w:val="00F1362C"/>
    <w:rsid w:val="00F136C5"/>
    <w:rsid w:val="00F1472F"/>
    <w:rsid w:val="00F14959"/>
    <w:rsid w:val="00F150B7"/>
    <w:rsid w:val="00F16171"/>
    <w:rsid w:val="00F21CCF"/>
    <w:rsid w:val="00F22F76"/>
    <w:rsid w:val="00F253AC"/>
    <w:rsid w:val="00F34EDF"/>
    <w:rsid w:val="00F35767"/>
    <w:rsid w:val="00F35838"/>
    <w:rsid w:val="00F40637"/>
    <w:rsid w:val="00F414F1"/>
    <w:rsid w:val="00F425B2"/>
    <w:rsid w:val="00F4799E"/>
    <w:rsid w:val="00F508B8"/>
    <w:rsid w:val="00F50E8C"/>
    <w:rsid w:val="00F55A69"/>
    <w:rsid w:val="00F632D8"/>
    <w:rsid w:val="00F63C77"/>
    <w:rsid w:val="00F656FC"/>
    <w:rsid w:val="00F66044"/>
    <w:rsid w:val="00F72CB1"/>
    <w:rsid w:val="00F749E0"/>
    <w:rsid w:val="00F75627"/>
    <w:rsid w:val="00F75FE7"/>
    <w:rsid w:val="00F76675"/>
    <w:rsid w:val="00F77038"/>
    <w:rsid w:val="00F8215E"/>
    <w:rsid w:val="00F82247"/>
    <w:rsid w:val="00F824F5"/>
    <w:rsid w:val="00F831F1"/>
    <w:rsid w:val="00F8783D"/>
    <w:rsid w:val="00F90500"/>
    <w:rsid w:val="00F90FAB"/>
    <w:rsid w:val="00F9112A"/>
    <w:rsid w:val="00F92045"/>
    <w:rsid w:val="00F92CEA"/>
    <w:rsid w:val="00F9374D"/>
    <w:rsid w:val="00F9499F"/>
    <w:rsid w:val="00F949B8"/>
    <w:rsid w:val="00F95CCD"/>
    <w:rsid w:val="00FA0C06"/>
    <w:rsid w:val="00FA31D5"/>
    <w:rsid w:val="00FA6509"/>
    <w:rsid w:val="00FA68A1"/>
    <w:rsid w:val="00FA7C2A"/>
    <w:rsid w:val="00FB0CD6"/>
    <w:rsid w:val="00FB44C3"/>
    <w:rsid w:val="00FC0C36"/>
    <w:rsid w:val="00FC29B9"/>
    <w:rsid w:val="00FC6FD3"/>
    <w:rsid w:val="00FD1804"/>
    <w:rsid w:val="00FD6506"/>
    <w:rsid w:val="00FD6CB9"/>
    <w:rsid w:val="00FE0212"/>
    <w:rsid w:val="00FE2AA5"/>
    <w:rsid w:val="00FE305C"/>
    <w:rsid w:val="00FE3F80"/>
    <w:rsid w:val="00FE6375"/>
    <w:rsid w:val="00FF0301"/>
    <w:rsid w:val="00FF0357"/>
    <w:rsid w:val="00FF087A"/>
    <w:rsid w:val="00FF18E4"/>
    <w:rsid w:val="00FF341A"/>
    <w:rsid w:val="00FF5406"/>
    <w:rsid w:val="07CB3E90"/>
    <w:rsid w:val="0B4C8377"/>
    <w:rsid w:val="0C5E0500"/>
    <w:rsid w:val="0C63D59D"/>
    <w:rsid w:val="0E73F02C"/>
    <w:rsid w:val="0F9BCD63"/>
    <w:rsid w:val="10456A38"/>
    <w:rsid w:val="12391D65"/>
    <w:rsid w:val="127E9D25"/>
    <w:rsid w:val="16B37CCC"/>
    <w:rsid w:val="17551478"/>
    <w:rsid w:val="188C131B"/>
    <w:rsid w:val="1EA5FDCC"/>
    <w:rsid w:val="2027DBF5"/>
    <w:rsid w:val="202A3E92"/>
    <w:rsid w:val="21CC67E7"/>
    <w:rsid w:val="24CE5453"/>
    <w:rsid w:val="24FFFB2B"/>
    <w:rsid w:val="25E88903"/>
    <w:rsid w:val="273909F2"/>
    <w:rsid w:val="27BAD803"/>
    <w:rsid w:val="2831CD08"/>
    <w:rsid w:val="2B568733"/>
    <w:rsid w:val="2D54444E"/>
    <w:rsid w:val="2F47FE3C"/>
    <w:rsid w:val="3021AB54"/>
    <w:rsid w:val="3529CF83"/>
    <w:rsid w:val="377F76D7"/>
    <w:rsid w:val="381664CD"/>
    <w:rsid w:val="383A396A"/>
    <w:rsid w:val="3E823EE8"/>
    <w:rsid w:val="3F817D41"/>
    <w:rsid w:val="405458AD"/>
    <w:rsid w:val="41B827E9"/>
    <w:rsid w:val="4266DDFC"/>
    <w:rsid w:val="45C4ACB0"/>
    <w:rsid w:val="47082EE3"/>
    <w:rsid w:val="48C28FAF"/>
    <w:rsid w:val="4B357E35"/>
    <w:rsid w:val="4EE2B676"/>
    <w:rsid w:val="4F43E35E"/>
    <w:rsid w:val="522B6039"/>
    <w:rsid w:val="534A68ED"/>
    <w:rsid w:val="5510C95F"/>
    <w:rsid w:val="5573462E"/>
    <w:rsid w:val="559CB2DA"/>
    <w:rsid w:val="5701F25B"/>
    <w:rsid w:val="575834E8"/>
    <w:rsid w:val="57C8D63F"/>
    <w:rsid w:val="59030F1D"/>
    <w:rsid w:val="5B8C4F71"/>
    <w:rsid w:val="5F242001"/>
    <w:rsid w:val="5FE6443F"/>
    <w:rsid w:val="627A1EFE"/>
    <w:rsid w:val="6430CA1E"/>
    <w:rsid w:val="64A77D71"/>
    <w:rsid w:val="67CDBF32"/>
    <w:rsid w:val="69BF5CB2"/>
    <w:rsid w:val="6A5A44EA"/>
    <w:rsid w:val="6FB1C296"/>
    <w:rsid w:val="71196829"/>
    <w:rsid w:val="7234CC7D"/>
    <w:rsid w:val="763BE984"/>
    <w:rsid w:val="78901A30"/>
    <w:rsid w:val="7C3ED761"/>
    <w:rsid w:val="7E7A51D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6B21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cap Char2 Char,题注,Figure cap"/>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목록 단락,清單段落1,列出"/>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列出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1,cap Char2 Char Char,题注 Char,Figure cap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4A1285"/>
    <w:pPr>
      <w:tabs>
        <w:tab w:val="right" w:leader="dot" w:pos="9617"/>
      </w:tabs>
      <w:spacing w:after="100"/>
    </w:pPr>
  </w:style>
  <w:style w:type="paragraph" w:styleId="TOC5">
    <w:name w:val="toc 5"/>
    <w:aliases w:val="Proposal"/>
    <w:basedOn w:val="Normal"/>
    <w:next w:val="Normal"/>
    <w:autoRedefine/>
    <w:uiPriority w:val="39"/>
    <w:unhideWhenUsed/>
    <w:rsid w:val="009B61A1"/>
    <w:pPr>
      <w:tabs>
        <w:tab w:val="right" w:leader="dot" w:pos="9617"/>
      </w:tabs>
      <w:spacing w:after="100"/>
    </w:pPr>
    <w:rPr>
      <w:b/>
    </w:rPr>
  </w:style>
  <w:style w:type="character" w:customStyle="1" w:styleId="normaltextrun">
    <w:name w:val="normaltextrun"/>
    <w:basedOn w:val="DefaultParagraphFont"/>
    <w:rsid w:val="00885CCA"/>
  </w:style>
  <w:style w:type="character" w:customStyle="1" w:styleId="eop">
    <w:name w:val="eop"/>
    <w:basedOn w:val="DefaultParagraphFont"/>
    <w:rsid w:val="00885CCA"/>
  </w:style>
  <w:style w:type="paragraph" w:customStyle="1" w:styleId="paragraph">
    <w:name w:val="paragraph"/>
    <w:basedOn w:val="Normal"/>
    <w:rsid w:val="00AC3E2D"/>
    <w:pPr>
      <w:spacing w:before="100" w:beforeAutospacing="1" w:after="100" w:afterAutospacing="1" w:line="240" w:lineRule="auto"/>
    </w:pPr>
    <w:rPr>
      <w:rFonts w:eastAsia="Times New Roman" w:cs="Times New Roman"/>
      <w:sz w:val="24"/>
      <w:szCs w:val="24"/>
    </w:rPr>
  </w:style>
  <w:style w:type="character" w:styleId="Mention">
    <w:name w:val="Mention"/>
    <w:basedOn w:val="DefaultParagraphFont"/>
    <w:uiPriority w:val="99"/>
    <w:unhideWhenUsed/>
    <w:rsid w:val="009D3D7F"/>
    <w:rPr>
      <w:color w:val="2B579A"/>
      <w:shd w:val="clear" w:color="auto" w:fill="E1DFDD"/>
    </w:rPr>
  </w:style>
  <w:style w:type="paragraph" w:styleId="Header">
    <w:name w:val="header"/>
    <w:basedOn w:val="Normal"/>
    <w:link w:val="HeaderChar"/>
    <w:uiPriority w:val="99"/>
    <w:unhideWhenUsed/>
    <w:rsid w:val="00EF39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3991"/>
    <w:rPr>
      <w:rFonts w:ascii="Times New Roman" w:hAnsi="Times New Roman"/>
      <w:sz w:val="20"/>
    </w:rPr>
  </w:style>
  <w:style w:type="paragraph" w:styleId="Footer">
    <w:name w:val="footer"/>
    <w:basedOn w:val="Normal"/>
    <w:link w:val="FooterChar"/>
    <w:uiPriority w:val="99"/>
    <w:unhideWhenUsed/>
    <w:rsid w:val="00EF399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F3991"/>
    <w:rPr>
      <w:rFonts w:ascii="Times New Roman" w:hAnsi="Times New Roman"/>
      <w:sz w:val="20"/>
    </w:rPr>
  </w:style>
  <w:style w:type="character" w:customStyle="1" w:styleId="ui-provider">
    <w:name w:val="ui-provider"/>
    <w:basedOn w:val="DefaultParagraphFont"/>
    <w:rsid w:val="00BE2316"/>
  </w:style>
  <w:style w:type="paragraph" w:styleId="Revision">
    <w:name w:val="Revision"/>
    <w:hidden/>
    <w:uiPriority w:val="99"/>
    <w:semiHidden/>
    <w:rsid w:val="0051606C"/>
    <w:pPr>
      <w:spacing w:after="0" w:line="240" w:lineRule="auto"/>
    </w:pPr>
    <w:rPr>
      <w:rFonts w:ascii="Times New Roman" w:hAnsi="Times New Roman"/>
      <w:sz w:val="20"/>
    </w:rPr>
  </w:style>
  <w:style w:type="paragraph" w:styleId="NormalWeb">
    <w:name w:val="Normal (Web)"/>
    <w:basedOn w:val="Normal"/>
    <w:uiPriority w:val="99"/>
    <w:semiHidden/>
    <w:unhideWhenUsed/>
    <w:rsid w:val="00EC5482"/>
    <w:pPr>
      <w:spacing w:before="100" w:beforeAutospacing="1" w:after="100" w:afterAutospacing="1" w:line="240" w:lineRule="auto"/>
    </w:pPr>
    <w:rPr>
      <w:rFonts w:eastAsia="Times New Roman" w:cs="Times New Roman"/>
      <w:sz w:val="24"/>
      <w:szCs w:val="24"/>
    </w:rPr>
  </w:style>
  <w:style w:type="character" w:customStyle="1" w:styleId="tabchar">
    <w:name w:val="tabchar"/>
    <w:basedOn w:val="DefaultParagraphFont"/>
    <w:rsid w:val="002A5891"/>
  </w:style>
  <w:style w:type="paragraph" w:customStyle="1" w:styleId="CRCoverPage">
    <w:name w:val="CR Cover Page"/>
    <w:rsid w:val="0010792E"/>
    <w:pPr>
      <w:spacing w:after="120" w:line="240" w:lineRule="auto"/>
    </w:pPr>
    <w:rPr>
      <w:rFonts w:ascii="Arial" w:eastAsia="Times New Roman" w:hAnsi="Arial" w:cs="Times New Roman"/>
      <w:sz w:val="20"/>
      <w:szCs w:val="20"/>
      <w:lang w:val="en-GB"/>
    </w:rPr>
  </w:style>
  <w:style w:type="paragraph" w:customStyle="1" w:styleId="pf1">
    <w:name w:val="pf1"/>
    <w:basedOn w:val="Normal"/>
    <w:rsid w:val="00E05E57"/>
    <w:pPr>
      <w:spacing w:before="100" w:beforeAutospacing="1" w:after="100" w:afterAutospacing="1" w:line="240" w:lineRule="auto"/>
      <w:ind w:left="560"/>
    </w:pPr>
    <w:rPr>
      <w:rFonts w:eastAsia="Times New Roman" w:cs="Times New Roman"/>
      <w:sz w:val="24"/>
      <w:szCs w:val="24"/>
    </w:rPr>
  </w:style>
  <w:style w:type="paragraph" w:customStyle="1" w:styleId="pf2">
    <w:name w:val="pf2"/>
    <w:basedOn w:val="Normal"/>
    <w:rsid w:val="00E05E57"/>
    <w:pPr>
      <w:spacing w:before="100" w:beforeAutospacing="1" w:after="100" w:afterAutospacing="1" w:line="240" w:lineRule="auto"/>
      <w:ind w:left="1120"/>
    </w:pPr>
    <w:rPr>
      <w:rFonts w:eastAsia="Times New Roman" w:cs="Times New Roman"/>
      <w:sz w:val="24"/>
      <w:szCs w:val="24"/>
    </w:rPr>
  </w:style>
  <w:style w:type="paragraph" w:customStyle="1" w:styleId="pf0">
    <w:name w:val="pf0"/>
    <w:basedOn w:val="Normal"/>
    <w:rsid w:val="00E05E57"/>
    <w:pPr>
      <w:spacing w:before="100" w:beforeAutospacing="1" w:after="100" w:afterAutospacing="1" w:line="240" w:lineRule="auto"/>
    </w:pPr>
    <w:rPr>
      <w:rFonts w:eastAsia="Times New Roman" w:cs="Times New Roman"/>
      <w:sz w:val="24"/>
      <w:szCs w:val="24"/>
    </w:rPr>
  </w:style>
  <w:style w:type="character" w:customStyle="1" w:styleId="cf01">
    <w:name w:val="cf01"/>
    <w:basedOn w:val="DefaultParagraphFont"/>
    <w:rsid w:val="00E05E57"/>
    <w:rPr>
      <w:rFonts w:ascii="Segoe UI" w:hAnsi="Segoe UI" w:cs="Segoe UI" w:hint="default"/>
      <w:color w:val="0000FF"/>
      <w:sz w:val="18"/>
      <w:szCs w:val="18"/>
    </w:rPr>
  </w:style>
  <w:style w:type="character" w:customStyle="1" w:styleId="cf11">
    <w:name w:val="cf11"/>
    <w:basedOn w:val="DefaultParagraphFont"/>
    <w:rsid w:val="00E05E57"/>
    <w:rPr>
      <w:rFonts w:ascii="Segoe UI" w:hAnsi="Segoe UI" w:cs="Segoe UI" w:hint="default"/>
      <w:color w:val="0000FF"/>
      <w:sz w:val="18"/>
      <w:szCs w:val="18"/>
    </w:rPr>
  </w:style>
  <w:style w:type="character" w:customStyle="1" w:styleId="cf31">
    <w:name w:val="cf31"/>
    <w:basedOn w:val="DefaultParagraphFont"/>
    <w:rsid w:val="00E05E57"/>
    <w:rPr>
      <w:rFonts w:ascii="Segoe UI" w:hAnsi="Segoe UI" w:cs="Segoe UI" w:hint="default"/>
      <w:color w:val="008000"/>
      <w:sz w:val="18"/>
      <w:szCs w:val="18"/>
    </w:rPr>
  </w:style>
  <w:style w:type="character" w:customStyle="1" w:styleId="cf41">
    <w:name w:val="cf41"/>
    <w:basedOn w:val="DefaultParagraphFont"/>
    <w:rsid w:val="00E05E57"/>
    <w:rPr>
      <w:rFonts w:ascii="Segoe UI" w:hAnsi="Segoe UI" w:cs="Segoe UI" w:hint="default"/>
      <w:color w:val="0000F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77038">
      <w:bodyDiv w:val="1"/>
      <w:marLeft w:val="0"/>
      <w:marRight w:val="0"/>
      <w:marTop w:val="0"/>
      <w:marBottom w:val="0"/>
      <w:divBdr>
        <w:top w:val="none" w:sz="0" w:space="0" w:color="auto"/>
        <w:left w:val="none" w:sz="0" w:space="0" w:color="auto"/>
        <w:bottom w:val="none" w:sz="0" w:space="0" w:color="auto"/>
        <w:right w:val="none" w:sz="0" w:space="0" w:color="auto"/>
      </w:divBdr>
      <w:divsChild>
        <w:div w:id="469323161">
          <w:marLeft w:val="0"/>
          <w:marRight w:val="0"/>
          <w:marTop w:val="0"/>
          <w:marBottom w:val="0"/>
          <w:divBdr>
            <w:top w:val="none" w:sz="0" w:space="0" w:color="auto"/>
            <w:left w:val="none" w:sz="0" w:space="0" w:color="auto"/>
            <w:bottom w:val="none" w:sz="0" w:space="0" w:color="auto"/>
            <w:right w:val="none" w:sz="0" w:space="0" w:color="auto"/>
          </w:divBdr>
        </w:div>
        <w:div w:id="1390810249">
          <w:marLeft w:val="0"/>
          <w:marRight w:val="0"/>
          <w:marTop w:val="0"/>
          <w:marBottom w:val="0"/>
          <w:divBdr>
            <w:top w:val="none" w:sz="0" w:space="0" w:color="auto"/>
            <w:left w:val="none" w:sz="0" w:space="0" w:color="auto"/>
            <w:bottom w:val="none" w:sz="0" w:space="0" w:color="auto"/>
            <w:right w:val="none" w:sz="0" w:space="0" w:color="auto"/>
          </w:divBdr>
        </w:div>
        <w:div w:id="1503621297">
          <w:marLeft w:val="0"/>
          <w:marRight w:val="0"/>
          <w:marTop w:val="0"/>
          <w:marBottom w:val="0"/>
          <w:divBdr>
            <w:top w:val="none" w:sz="0" w:space="0" w:color="auto"/>
            <w:left w:val="none" w:sz="0" w:space="0" w:color="auto"/>
            <w:bottom w:val="none" w:sz="0" w:space="0" w:color="auto"/>
            <w:right w:val="none" w:sz="0" w:space="0" w:color="auto"/>
          </w:divBdr>
        </w:div>
      </w:divsChild>
    </w:div>
    <w:div w:id="156188608">
      <w:bodyDiv w:val="1"/>
      <w:marLeft w:val="0"/>
      <w:marRight w:val="0"/>
      <w:marTop w:val="0"/>
      <w:marBottom w:val="0"/>
      <w:divBdr>
        <w:top w:val="none" w:sz="0" w:space="0" w:color="auto"/>
        <w:left w:val="none" w:sz="0" w:space="0" w:color="auto"/>
        <w:bottom w:val="none" w:sz="0" w:space="0" w:color="auto"/>
        <w:right w:val="none" w:sz="0" w:space="0" w:color="auto"/>
      </w:divBdr>
    </w:div>
    <w:div w:id="224146720">
      <w:bodyDiv w:val="1"/>
      <w:marLeft w:val="0"/>
      <w:marRight w:val="0"/>
      <w:marTop w:val="0"/>
      <w:marBottom w:val="0"/>
      <w:divBdr>
        <w:top w:val="none" w:sz="0" w:space="0" w:color="auto"/>
        <w:left w:val="none" w:sz="0" w:space="0" w:color="auto"/>
        <w:bottom w:val="none" w:sz="0" w:space="0" w:color="auto"/>
        <w:right w:val="none" w:sz="0" w:space="0" w:color="auto"/>
      </w:divBdr>
      <w:divsChild>
        <w:div w:id="850293843">
          <w:marLeft w:val="0"/>
          <w:marRight w:val="0"/>
          <w:marTop w:val="0"/>
          <w:marBottom w:val="0"/>
          <w:divBdr>
            <w:top w:val="none" w:sz="0" w:space="0" w:color="auto"/>
            <w:left w:val="none" w:sz="0" w:space="0" w:color="auto"/>
            <w:bottom w:val="none" w:sz="0" w:space="0" w:color="auto"/>
            <w:right w:val="none" w:sz="0" w:space="0" w:color="auto"/>
          </w:divBdr>
        </w:div>
        <w:div w:id="1857112059">
          <w:marLeft w:val="0"/>
          <w:marRight w:val="0"/>
          <w:marTop w:val="0"/>
          <w:marBottom w:val="0"/>
          <w:divBdr>
            <w:top w:val="none" w:sz="0" w:space="0" w:color="auto"/>
            <w:left w:val="none" w:sz="0" w:space="0" w:color="auto"/>
            <w:bottom w:val="none" w:sz="0" w:space="0" w:color="auto"/>
            <w:right w:val="none" w:sz="0" w:space="0" w:color="auto"/>
          </w:divBdr>
          <w:divsChild>
            <w:div w:id="652218095">
              <w:marLeft w:val="0"/>
              <w:marRight w:val="0"/>
              <w:marTop w:val="0"/>
              <w:marBottom w:val="0"/>
              <w:divBdr>
                <w:top w:val="none" w:sz="0" w:space="0" w:color="auto"/>
                <w:left w:val="none" w:sz="0" w:space="0" w:color="auto"/>
                <w:bottom w:val="none" w:sz="0" w:space="0" w:color="auto"/>
                <w:right w:val="none" w:sz="0" w:space="0" w:color="auto"/>
              </w:divBdr>
            </w:div>
            <w:div w:id="710691278">
              <w:marLeft w:val="0"/>
              <w:marRight w:val="0"/>
              <w:marTop w:val="0"/>
              <w:marBottom w:val="0"/>
              <w:divBdr>
                <w:top w:val="none" w:sz="0" w:space="0" w:color="auto"/>
                <w:left w:val="none" w:sz="0" w:space="0" w:color="auto"/>
                <w:bottom w:val="none" w:sz="0" w:space="0" w:color="auto"/>
                <w:right w:val="none" w:sz="0" w:space="0" w:color="auto"/>
              </w:divBdr>
            </w:div>
            <w:div w:id="929579427">
              <w:marLeft w:val="0"/>
              <w:marRight w:val="0"/>
              <w:marTop w:val="0"/>
              <w:marBottom w:val="0"/>
              <w:divBdr>
                <w:top w:val="none" w:sz="0" w:space="0" w:color="auto"/>
                <w:left w:val="none" w:sz="0" w:space="0" w:color="auto"/>
                <w:bottom w:val="none" w:sz="0" w:space="0" w:color="auto"/>
                <w:right w:val="none" w:sz="0" w:space="0" w:color="auto"/>
              </w:divBdr>
            </w:div>
            <w:div w:id="1481001628">
              <w:marLeft w:val="0"/>
              <w:marRight w:val="0"/>
              <w:marTop w:val="0"/>
              <w:marBottom w:val="0"/>
              <w:divBdr>
                <w:top w:val="none" w:sz="0" w:space="0" w:color="auto"/>
                <w:left w:val="none" w:sz="0" w:space="0" w:color="auto"/>
                <w:bottom w:val="none" w:sz="0" w:space="0" w:color="auto"/>
                <w:right w:val="none" w:sz="0" w:space="0" w:color="auto"/>
              </w:divBdr>
            </w:div>
            <w:div w:id="1720011647">
              <w:marLeft w:val="0"/>
              <w:marRight w:val="0"/>
              <w:marTop w:val="0"/>
              <w:marBottom w:val="0"/>
              <w:divBdr>
                <w:top w:val="none" w:sz="0" w:space="0" w:color="auto"/>
                <w:left w:val="none" w:sz="0" w:space="0" w:color="auto"/>
                <w:bottom w:val="none" w:sz="0" w:space="0" w:color="auto"/>
                <w:right w:val="none" w:sz="0" w:space="0" w:color="auto"/>
              </w:divBdr>
            </w:div>
            <w:div w:id="1989095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428642">
      <w:bodyDiv w:val="1"/>
      <w:marLeft w:val="0"/>
      <w:marRight w:val="0"/>
      <w:marTop w:val="0"/>
      <w:marBottom w:val="0"/>
      <w:divBdr>
        <w:top w:val="none" w:sz="0" w:space="0" w:color="auto"/>
        <w:left w:val="none" w:sz="0" w:space="0" w:color="auto"/>
        <w:bottom w:val="none" w:sz="0" w:space="0" w:color="auto"/>
        <w:right w:val="none" w:sz="0" w:space="0" w:color="auto"/>
      </w:divBdr>
    </w:div>
    <w:div w:id="516117406">
      <w:bodyDiv w:val="1"/>
      <w:marLeft w:val="0"/>
      <w:marRight w:val="0"/>
      <w:marTop w:val="0"/>
      <w:marBottom w:val="0"/>
      <w:divBdr>
        <w:top w:val="none" w:sz="0" w:space="0" w:color="auto"/>
        <w:left w:val="none" w:sz="0" w:space="0" w:color="auto"/>
        <w:bottom w:val="none" w:sz="0" w:space="0" w:color="auto"/>
        <w:right w:val="none" w:sz="0" w:space="0" w:color="auto"/>
      </w:divBdr>
      <w:divsChild>
        <w:div w:id="62342093">
          <w:marLeft w:val="0"/>
          <w:marRight w:val="0"/>
          <w:marTop w:val="0"/>
          <w:marBottom w:val="0"/>
          <w:divBdr>
            <w:top w:val="none" w:sz="0" w:space="0" w:color="auto"/>
            <w:left w:val="none" w:sz="0" w:space="0" w:color="auto"/>
            <w:bottom w:val="none" w:sz="0" w:space="0" w:color="auto"/>
            <w:right w:val="none" w:sz="0" w:space="0" w:color="auto"/>
          </w:divBdr>
        </w:div>
        <w:div w:id="1018655408">
          <w:marLeft w:val="0"/>
          <w:marRight w:val="0"/>
          <w:marTop w:val="0"/>
          <w:marBottom w:val="0"/>
          <w:divBdr>
            <w:top w:val="none" w:sz="0" w:space="0" w:color="auto"/>
            <w:left w:val="none" w:sz="0" w:space="0" w:color="auto"/>
            <w:bottom w:val="none" w:sz="0" w:space="0" w:color="auto"/>
            <w:right w:val="none" w:sz="0" w:space="0" w:color="auto"/>
          </w:divBdr>
        </w:div>
        <w:div w:id="1248731109">
          <w:marLeft w:val="0"/>
          <w:marRight w:val="0"/>
          <w:marTop w:val="0"/>
          <w:marBottom w:val="0"/>
          <w:divBdr>
            <w:top w:val="none" w:sz="0" w:space="0" w:color="auto"/>
            <w:left w:val="none" w:sz="0" w:space="0" w:color="auto"/>
            <w:bottom w:val="none" w:sz="0" w:space="0" w:color="auto"/>
            <w:right w:val="none" w:sz="0" w:space="0" w:color="auto"/>
          </w:divBdr>
        </w:div>
        <w:div w:id="1702631874">
          <w:marLeft w:val="0"/>
          <w:marRight w:val="0"/>
          <w:marTop w:val="0"/>
          <w:marBottom w:val="0"/>
          <w:divBdr>
            <w:top w:val="none" w:sz="0" w:space="0" w:color="auto"/>
            <w:left w:val="none" w:sz="0" w:space="0" w:color="auto"/>
            <w:bottom w:val="none" w:sz="0" w:space="0" w:color="auto"/>
            <w:right w:val="none" w:sz="0" w:space="0" w:color="auto"/>
          </w:divBdr>
        </w:div>
        <w:div w:id="2091385956">
          <w:marLeft w:val="0"/>
          <w:marRight w:val="0"/>
          <w:marTop w:val="0"/>
          <w:marBottom w:val="0"/>
          <w:divBdr>
            <w:top w:val="none" w:sz="0" w:space="0" w:color="auto"/>
            <w:left w:val="none" w:sz="0" w:space="0" w:color="auto"/>
            <w:bottom w:val="none" w:sz="0" w:space="0" w:color="auto"/>
            <w:right w:val="none" w:sz="0" w:space="0" w:color="auto"/>
          </w:divBdr>
        </w:div>
      </w:divsChild>
    </w:div>
    <w:div w:id="536698296">
      <w:bodyDiv w:val="1"/>
      <w:marLeft w:val="0"/>
      <w:marRight w:val="0"/>
      <w:marTop w:val="0"/>
      <w:marBottom w:val="0"/>
      <w:divBdr>
        <w:top w:val="none" w:sz="0" w:space="0" w:color="auto"/>
        <w:left w:val="none" w:sz="0" w:space="0" w:color="auto"/>
        <w:bottom w:val="none" w:sz="0" w:space="0" w:color="auto"/>
        <w:right w:val="none" w:sz="0" w:space="0" w:color="auto"/>
      </w:divBdr>
    </w:div>
    <w:div w:id="557785906">
      <w:bodyDiv w:val="1"/>
      <w:marLeft w:val="0"/>
      <w:marRight w:val="0"/>
      <w:marTop w:val="0"/>
      <w:marBottom w:val="0"/>
      <w:divBdr>
        <w:top w:val="none" w:sz="0" w:space="0" w:color="auto"/>
        <w:left w:val="none" w:sz="0" w:space="0" w:color="auto"/>
        <w:bottom w:val="none" w:sz="0" w:space="0" w:color="auto"/>
        <w:right w:val="none" w:sz="0" w:space="0" w:color="auto"/>
      </w:divBdr>
    </w:div>
    <w:div w:id="650060289">
      <w:bodyDiv w:val="1"/>
      <w:marLeft w:val="0"/>
      <w:marRight w:val="0"/>
      <w:marTop w:val="0"/>
      <w:marBottom w:val="0"/>
      <w:divBdr>
        <w:top w:val="none" w:sz="0" w:space="0" w:color="auto"/>
        <w:left w:val="none" w:sz="0" w:space="0" w:color="auto"/>
        <w:bottom w:val="none" w:sz="0" w:space="0" w:color="auto"/>
        <w:right w:val="none" w:sz="0" w:space="0" w:color="auto"/>
      </w:divBdr>
      <w:divsChild>
        <w:div w:id="922223110">
          <w:marLeft w:val="0"/>
          <w:marRight w:val="0"/>
          <w:marTop w:val="0"/>
          <w:marBottom w:val="0"/>
          <w:divBdr>
            <w:top w:val="none" w:sz="0" w:space="0" w:color="auto"/>
            <w:left w:val="none" w:sz="0" w:space="0" w:color="auto"/>
            <w:bottom w:val="none" w:sz="0" w:space="0" w:color="auto"/>
            <w:right w:val="none" w:sz="0" w:space="0" w:color="auto"/>
          </w:divBdr>
        </w:div>
        <w:div w:id="1412967515">
          <w:marLeft w:val="0"/>
          <w:marRight w:val="0"/>
          <w:marTop w:val="0"/>
          <w:marBottom w:val="0"/>
          <w:divBdr>
            <w:top w:val="none" w:sz="0" w:space="0" w:color="auto"/>
            <w:left w:val="none" w:sz="0" w:space="0" w:color="auto"/>
            <w:bottom w:val="none" w:sz="0" w:space="0" w:color="auto"/>
            <w:right w:val="none" w:sz="0" w:space="0" w:color="auto"/>
          </w:divBdr>
        </w:div>
        <w:div w:id="1767266167">
          <w:marLeft w:val="0"/>
          <w:marRight w:val="0"/>
          <w:marTop w:val="0"/>
          <w:marBottom w:val="0"/>
          <w:divBdr>
            <w:top w:val="none" w:sz="0" w:space="0" w:color="auto"/>
            <w:left w:val="none" w:sz="0" w:space="0" w:color="auto"/>
            <w:bottom w:val="none" w:sz="0" w:space="0" w:color="auto"/>
            <w:right w:val="none" w:sz="0" w:space="0" w:color="auto"/>
          </w:divBdr>
        </w:div>
      </w:divsChild>
    </w:div>
    <w:div w:id="685638553">
      <w:bodyDiv w:val="1"/>
      <w:marLeft w:val="0"/>
      <w:marRight w:val="0"/>
      <w:marTop w:val="0"/>
      <w:marBottom w:val="0"/>
      <w:divBdr>
        <w:top w:val="none" w:sz="0" w:space="0" w:color="auto"/>
        <w:left w:val="none" w:sz="0" w:space="0" w:color="auto"/>
        <w:bottom w:val="none" w:sz="0" w:space="0" w:color="auto"/>
        <w:right w:val="none" w:sz="0" w:space="0" w:color="auto"/>
      </w:divBdr>
    </w:div>
    <w:div w:id="781650045">
      <w:bodyDiv w:val="1"/>
      <w:marLeft w:val="0"/>
      <w:marRight w:val="0"/>
      <w:marTop w:val="0"/>
      <w:marBottom w:val="0"/>
      <w:divBdr>
        <w:top w:val="none" w:sz="0" w:space="0" w:color="auto"/>
        <w:left w:val="none" w:sz="0" w:space="0" w:color="auto"/>
        <w:bottom w:val="none" w:sz="0" w:space="0" w:color="auto"/>
        <w:right w:val="none" w:sz="0" w:space="0" w:color="auto"/>
      </w:divBdr>
      <w:divsChild>
        <w:div w:id="337005731">
          <w:marLeft w:val="0"/>
          <w:marRight w:val="0"/>
          <w:marTop w:val="0"/>
          <w:marBottom w:val="0"/>
          <w:divBdr>
            <w:top w:val="none" w:sz="0" w:space="0" w:color="auto"/>
            <w:left w:val="none" w:sz="0" w:space="0" w:color="auto"/>
            <w:bottom w:val="none" w:sz="0" w:space="0" w:color="auto"/>
            <w:right w:val="none" w:sz="0" w:space="0" w:color="auto"/>
          </w:divBdr>
          <w:divsChild>
            <w:div w:id="896668230">
              <w:marLeft w:val="0"/>
              <w:marRight w:val="0"/>
              <w:marTop w:val="0"/>
              <w:marBottom w:val="0"/>
              <w:divBdr>
                <w:top w:val="none" w:sz="0" w:space="0" w:color="auto"/>
                <w:left w:val="none" w:sz="0" w:space="0" w:color="auto"/>
                <w:bottom w:val="none" w:sz="0" w:space="0" w:color="auto"/>
                <w:right w:val="none" w:sz="0" w:space="0" w:color="auto"/>
              </w:divBdr>
            </w:div>
            <w:div w:id="902909369">
              <w:marLeft w:val="0"/>
              <w:marRight w:val="0"/>
              <w:marTop w:val="0"/>
              <w:marBottom w:val="0"/>
              <w:divBdr>
                <w:top w:val="none" w:sz="0" w:space="0" w:color="auto"/>
                <w:left w:val="none" w:sz="0" w:space="0" w:color="auto"/>
                <w:bottom w:val="none" w:sz="0" w:space="0" w:color="auto"/>
                <w:right w:val="none" w:sz="0" w:space="0" w:color="auto"/>
              </w:divBdr>
            </w:div>
          </w:divsChild>
        </w:div>
        <w:div w:id="1072115584">
          <w:marLeft w:val="0"/>
          <w:marRight w:val="0"/>
          <w:marTop w:val="0"/>
          <w:marBottom w:val="0"/>
          <w:divBdr>
            <w:top w:val="none" w:sz="0" w:space="0" w:color="auto"/>
            <w:left w:val="none" w:sz="0" w:space="0" w:color="auto"/>
            <w:bottom w:val="none" w:sz="0" w:space="0" w:color="auto"/>
            <w:right w:val="none" w:sz="0" w:space="0" w:color="auto"/>
          </w:divBdr>
        </w:div>
        <w:div w:id="1172719190">
          <w:marLeft w:val="0"/>
          <w:marRight w:val="0"/>
          <w:marTop w:val="0"/>
          <w:marBottom w:val="0"/>
          <w:divBdr>
            <w:top w:val="none" w:sz="0" w:space="0" w:color="auto"/>
            <w:left w:val="none" w:sz="0" w:space="0" w:color="auto"/>
            <w:bottom w:val="none" w:sz="0" w:space="0" w:color="auto"/>
            <w:right w:val="none" w:sz="0" w:space="0" w:color="auto"/>
          </w:divBdr>
        </w:div>
        <w:div w:id="1891109281">
          <w:marLeft w:val="0"/>
          <w:marRight w:val="0"/>
          <w:marTop w:val="0"/>
          <w:marBottom w:val="0"/>
          <w:divBdr>
            <w:top w:val="none" w:sz="0" w:space="0" w:color="auto"/>
            <w:left w:val="none" w:sz="0" w:space="0" w:color="auto"/>
            <w:bottom w:val="none" w:sz="0" w:space="0" w:color="auto"/>
            <w:right w:val="none" w:sz="0" w:space="0" w:color="auto"/>
          </w:divBdr>
          <w:divsChild>
            <w:div w:id="536620245">
              <w:marLeft w:val="0"/>
              <w:marRight w:val="0"/>
              <w:marTop w:val="0"/>
              <w:marBottom w:val="0"/>
              <w:divBdr>
                <w:top w:val="none" w:sz="0" w:space="0" w:color="auto"/>
                <w:left w:val="none" w:sz="0" w:space="0" w:color="auto"/>
                <w:bottom w:val="none" w:sz="0" w:space="0" w:color="auto"/>
                <w:right w:val="none" w:sz="0" w:space="0" w:color="auto"/>
              </w:divBdr>
            </w:div>
            <w:div w:id="1173644731">
              <w:marLeft w:val="0"/>
              <w:marRight w:val="0"/>
              <w:marTop w:val="0"/>
              <w:marBottom w:val="0"/>
              <w:divBdr>
                <w:top w:val="none" w:sz="0" w:space="0" w:color="auto"/>
                <w:left w:val="none" w:sz="0" w:space="0" w:color="auto"/>
                <w:bottom w:val="none" w:sz="0" w:space="0" w:color="auto"/>
                <w:right w:val="none" w:sz="0" w:space="0" w:color="auto"/>
              </w:divBdr>
            </w:div>
            <w:div w:id="1413895753">
              <w:marLeft w:val="0"/>
              <w:marRight w:val="0"/>
              <w:marTop w:val="0"/>
              <w:marBottom w:val="0"/>
              <w:divBdr>
                <w:top w:val="none" w:sz="0" w:space="0" w:color="auto"/>
                <w:left w:val="none" w:sz="0" w:space="0" w:color="auto"/>
                <w:bottom w:val="none" w:sz="0" w:space="0" w:color="auto"/>
                <w:right w:val="none" w:sz="0" w:space="0" w:color="auto"/>
              </w:divBdr>
            </w:div>
            <w:div w:id="1824197652">
              <w:marLeft w:val="0"/>
              <w:marRight w:val="0"/>
              <w:marTop w:val="0"/>
              <w:marBottom w:val="0"/>
              <w:divBdr>
                <w:top w:val="none" w:sz="0" w:space="0" w:color="auto"/>
                <w:left w:val="none" w:sz="0" w:space="0" w:color="auto"/>
                <w:bottom w:val="none" w:sz="0" w:space="0" w:color="auto"/>
                <w:right w:val="none" w:sz="0" w:space="0" w:color="auto"/>
              </w:divBdr>
            </w:div>
          </w:divsChild>
        </w:div>
        <w:div w:id="2003507059">
          <w:marLeft w:val="0"/>
          <w:marRight w:val="0"/>
          <w:marTop w:val="0"/>
          <w:marBottom w:val="0"/>
          <w:divBdr>
            <w:top w:val="none" w:sz="0" w:space="0" w:color="auto"/>
            <w:left w:val="none" w:sz="0" w:space="0" w:color="auto"/>
            <w:bottom w:val="none" w:sz="0" w:space="0" w:color="auto"/>
            <w:right w:val="none" w:sz="0" w:space="0" w:color="auto"/>
          </w:divBdr>
          <w:divsChild>
            <w:div w:id="6762718">
              <w:marLeft w:val="0"/>
              <w:marRight w:val="0"/>
              <w:marTop w:val="0"/>
              <w:marBottom w:val="0"/>
              <w:divBdr>
                <w:top w:val="none" w:sz="0" w:space="0" w:color="auto"/>
                <w:left w:val="none" w:sz="0" w:space="0" w:color="auto"/>
                <w:bottom w:val="none" w:sz="0" w:space="0" w:color="auto"/>
                <w:right w:val="none" w:sz="0" w:space="0" w:color="auto"/>
              </w:divBdr>
            </w:div>
            <w:div w:id="370376396">
              <w:marLeft w:val="0"/>
              <w:marRight w:val="0"/>
              <w:marTop w:val="0"/>
              <w:marBottom w:val="0"/>
              <w:divBdr>
                <w:top w:val="none" w:sz="0" w:space="0" w:color="auto"/>
                <w:left w:val="none" w:sz="0" w:space="0" w:color="auto"/>
                <w:bottom w:val="none" w:sz="0" w:space="0" w:color="auto"/>
                <w:right w:val="none" w:sz="0" w:space="0" w:color="auto"/>
              </w:divBdr>
            </w:div>
            <w:div w:id="1443039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082960">
      <w:bodyDiv w:val="1"/>
      <w:marLeft w:val="0"/>
      <w:marRight w:val="0"/>
      <w:marTop w:val="0"/>
      <w:marBottom w:val="0"/>
      <w:divBdr>
        <w:top w:val="none" w:sz="0" w:space="0" w:color="auto"/>
        <w:left w:val="none" w:sz="0" w:space="0" w:color="auto"/>
        <w:bottom w:val="none" w:sz="0" w:space="0" w:color="auto"/>
        <w:right w:val="none" w:sz="0" w:space="0" w:color="auto"/>
      </w:divBdr>
    </w:div>
    <w:div w:id="856382744">
      <w:bodyDiv w:val="1"/>
      <w:marLeft w:val="0"/>
      <w:marRight w:val="0"/>
      <w:marTop w:val="0"/>
      <w:marBottom w:val="0"/>
      <w:divBdr>
        <w:top w:val="none" w:sz="0" w:space="0" w:color="auto"/>
        <w:left w:val="none" w:sz="0" w:space="0" w:color="auto"/>
        <w:bottom w:val="none" w:sz="0" w:space="0" w:color="auto"/>
        <w:right w:val="none" w:sz="0" w:space="0" w:color="auto"/>
      </w:divBdr>
    </w:div>
    <w:div w:id="887641075">
      <w:bodyDiv w:val="1"/>
      <w:marLeft w:val="0"/>
      <w:marRight w:val="0"/>
      <w:marTop w:val="0"/>
      <w:marBottom w:val="0"/>
      <w:divBdr>
        <w:top w:val="none" w:sz="0" w:space="0" w:color="auto"/>
        <w:left w:val="none" w:sz="0" w:space="0" w:color="auto"/>
        <w:bottom w:val="none" w:sz="0" w:space="0" w:color="auto"/>
        <w:right w:val="none" w:sz="0" w:space="0" w:color="auto"/>
      </w:divBdr>
    </w:div>
    <w:div w:id="957951579">
      <w:bodyDiv w:val="1"/>
      <w:marLeft w:val="0"/>
      <w:marRight w:val="0"/>
      <w:marTop w:val="0"/>
      <w:marBottom w:val="0"/>
      <w:divBdr>
        <w:top w:val="none" w:sz="0" w:space="0" w:color="auto"/>
        <w:left w:val="none" w:sz="0" w:space="0" w:color="auto"/>
        <w:bottom w:val="none" w:sz="0" w:space="0" w:color="auto"/>
        <w:right w:val="none" w:sz="0" w:space="0" w:color="auto"/>
      </w:divBdr>
      <w:divsChild>
        <w:div w:id="270430931">
          <w:marLeft w:val="0"/>
          <w:marRight w:val="0"/>
          <w:marTop w:val="0"/>
          <w:marBottom w:val="0"/>
          <w:divBdr>
            <w:top w:val="none" w:sz="0" w:space="0" w:color="auto"/>
            <w:left w:val="none" w:sz="0" w:space="0" w:color="auto"/>
            <w:bottom w:val="none" w:sz="0" w:space="0" w:color="auto"/>
            <w:right w:val="none" w:sz="0" w:space="0" w:color="auto"/>
          </w:divBdr>
        </w:div>
      </w:divsChild>
    </w:div>
    <w:div w:id="1057128332">
      <w:bodyDiv w:val="1"/>
      <w:marLeft w:val="0"/>
      <w:marRight w:val="0"/>
      <w:marTop w:val="0"/>
      <w:marBottom w:val="0"/>
      <w:divBdr>
        <w:top w:val="none" w:sz="0" w:space="0" w:color="auto"/>
        <w:left w:val="none" w:sz="0" w:space="0" w:color="auto"/>
        <w:bottom w:val="none" w:sz="0" w:space="0" w:color="auto"/>
        <w:right w:val="none" w:sz="0" w:space="0" w:color="auto"/>
      </w:divBdr>
      <w:divsChild>
        <w:div w:id="1128627614">
          <w:marLeft w:val="0"/>
          <w:marRight w:val="0"/>
          <w:marTop w:val="0"/>
          <w:marBottom w:val="0"/>
          <w:divBdr>
            <w:top w:val="none" w:sz="0" w:space="0" w:color="auto"/>
            <w:left w:val="none" w:sz="0" w:space="0" w:color="auto"/>
            <w:bottom w:val="none" w:sz="0" w:space="0" w:color="auto"/>
            <w:right w:val="none" w:sz="0" w:space="0" w:color="auto"/>
          </w:divBdr>
        </w:div>
        <w:div w:id="1325086198">
          <w:marLeft w:val="0"/>
          <w:marRight w:val="0"/>
          <w:marTop w:val="0"/>
          <w:marBottom w:val="0"/>
          <w:divBdr>
            <w:top w:val="none" w:sz="0" w:space="0" w:color="auto"/>
            <w:left w:val="none" w:sz="0" w:space="0" w:color="auto"/>
            <w:bottom w:val="none" w:sz="0" w:space="0" w:color="auto"/>
            <w:right w:val="none" w:sz="0" w:space="0" w:color="auto"/>
          </w:divBdr>
        </w:div>
        <w:div w:id="1580020909">
          <w:marLeft w:val="0"/>
          <w:marRight w:val="0"/>
          <w:marTop w:val="0"/>
          <w:marBottom w:val="0"/>
          <w:divBdr>
            <w:top w:val="none" w:sz="0" w:space="0" w:color="auto"/>
            <w:left w:val="none" w:sz="0" w:space="0" w:color="auto"/>
            <w:bottom w:val="none" w:sz="0" w:space="0" w:color="auto"/>
            <w:right w:val="none" w:sz="0" w:space="0" w:color="auto"/>
          </w:divBdr>
        </w:div>
      </w:divsChild>
    </w:div>
    <w:div w:id="1135024390">
      <w:bodyDiv w:val="1"/>
      <w:marLeft w:val="0"/>
      <w:marRight w:val="0"/>
      <w:marTop w:val="0"/>
      <w:marBottom w:val="0"/>
      <w:divBdr>
        <w:top w:val="none" w:sz="0" w:space="0" w:color="auto"/>
        <w:left w:val="none" w:sz="0" w:space="0" w:color="auto"/>
        <w:bottom w:val="none" w:sz="0" w:space="0" w:color="auto"/>
        <w:right w:val="none" w:sz="0" w:space="0" w:color="auto"/>
      </w:divBdr>
    </w:div>
    <w:div w:id="1195314869">
      <w:bodyDiv w:val="1"/>
      <w:marLeft w:val="0"/>
      <w:marRight w:val="0"/>
      <w:marTop w:val="0"/>
      <w:marBottom w:val="0"/>
      <w:divBdr>
        <w:top w:val="none" w:sz="0" w:space="0" w:color="auto"/>
        <w:left w:val="none" w:sz="0" w:space="0" w:color="auto"/>
        <w:bottom w:val="none" w:sz="0" w:space="0" w:color="auto"/>
        <w:right w:val="none" w:sz="0" w:space="0" w:color="auto"/>
      </w:divBdr>
    </w:div>
    <w:div w:id="1200050956">
      <w:bodyDiv w:val="1"/>
      <w:marLeft w:val="0"/>
      <w:marRight w:val="0"/>
      <w:marTop w:val="0"/>
      <w:marBottom w:val="0"/>
      <w:divBdr>
        <w:top w:val="none" w:sz="0" w:space="0" w:color="auto"/>
        <w:left w:val="none" w:sz="0" w:space="0" w:color="auto"/>
        <w:bottom w:val="none" w:sz="0" w:space="0" w:color="auto"/>
        <w:right w:val="none" w:sz="0" w:space="0" w:color="auto"/>
      </w:divBdr>
    </w:div>
    <w:div w:id="1235160259">
      <w:bodyDiv w:val="1"/>
      <w:marLeft w:val="0"/>
      <w:marRight w:val="0"/>
      <w:marTop w:val="0"/>
      <w:marBottom w:val="0"/>
      <w:divBdr>
        <w:top w:val="none" w:sz="0" w:space="0" w:color="auto"/>
        <w:left w:val="none" w:sz="0" w:space="0" w:color="auto"/>
        <w:bottom w:val="none" w:sz="0" w:space="0" w:color="auto"/>
        <w:right w:val="none" w:sz="0" w:space="0" w:color="auto"/>
      </w:divBdr>
    </w:div>
    <w:div w:id="1579365836">
      <w:bodyDiv w:val="1"/>
      <w:marLeft w:val="0"/>
      <w:marRight w:val="0"/>
      <w:marTop w:val="0"/>
      <w:marBottom w:val="0"/>
      <w:divBdr>
        <w:top w:val="none" w:sz="0" w:space="0" w:color="auto"/>
        <w:left w:val="none" w:sz="0" w:space="0" w:color="auto"/>
        <w:bottom w:val="none" w:sz="0" w:space="0" w:color="auto"/>
        <w:right w:val="none" w:sz="0" w:space="0" w:color="auto"/>
      </w:divBdr>
    </w:div>
    <w:div w:id="1656030960">
      <w:bodyDiv w:val="1"/>
      <w:marLeft w:val="0"/>
      <w:marRight w:val="0"/>
      <w:marTop w:val="0"/>
      <w:marBottom w:val="0"/>
      <w:divBdr>
        <w:top w:val="none" w:sz="0" w:space="0" w:color="auto"/>
        <w:left w:val="none" w:sz="0" w:space="0" w:color="auto"/>
        <w:bottom w:val="none" w:sz="0" w:space="0" w:color="auto"/>
        <w:right w:val="none" w:sz="0" w:space="0" w:color="auto"/>
      </w:divBdr>
    </w:div>
    <w:div w:id="1775711905">
      <w:bodyDiv w:val="1"/>
      <w:marLeft w:val="0"/>
      <w:marRight w:val="0"/>
      <w:marTop w:val="0"/>
      <w:marBottom w:val="0"/>
      <w:divBdr>
        <w:top w:val="none" w:sz="0" w:space="0" w:color="auto"/>
        <w:left w:val="none" w:sz="0" w:space="0" w:color="auto"/>
        <w:bottom w:val="none" w:sz="0" w:space="0" w:color="auto"/>
        <w:right w:val="none" w:sz="0" w:space="0" w:color="auto"/>
      </w:divBdr>
    </w:div>
    <w:div w:id="1872106682">
      <w:bodyDiv w:val="1"/>
      <w:marLeft w:val="0"/>
      <w:marRight w:val="0"/>
      <w:marTop w:val="0"/>
      <w:marBottom w:val="0"/>
      <w:divBdr>
        <w:top w:val="none" w:sz="0" w:space="0" w:color="auto"/>
        <w:left w:val="none" w:sz="0" w:space="0" w:color="auto"/>
        <w:bottom w:val="none" w:sz="0" w:space="0" w:color="auto"/>
        <w:right w:val="none" w:sz="0" w:space="0" w:color="auto"/>
      </w:divBdr>
      <w:divsChild>
        <w:div w:id="116800124">
          <w:marLeft w:val="0"/>
          <w:marRight w:val="0"/>
          <w:marTop w:val="0"/>
          <w:marBottom w:val="0"/>
          <w:divBdr>
            <w:top w:val="none" w:sz="0" w:space="0" w:color="auto"/>
            <w:left w:val="none" w:sz="0" w:space="0" w:color="auto"/>
            <w:bottom w:val="none" w:sz="0" w:space="0" w:color="auto"/>
            <w:right w:val="none" w:sz="0" w:space="0" w:color="auto"/>
          </w:divBdr>
          <w:divsChild>
            <w:div w:id="388235879">
              <w:marLeft w:val="0"/>
              <w:marRight w:val="0"/>
              <w:marTop w:val="0"/>
              <w:marBottom w:val="0"/>
              <w:divBdr>
                <w:top w:val="none" w:sz="0" w:space="0" w:color="auto"/>
                <w:left w:val="none" w:sz="0" w:space="0" w:color="auto"/>
                <w:bottom w:val="none" w:sz="0" w:space="0" w:color="auto"/>
                <w:right w:val="none" w:sz="0" w:space="0" w:color="auto"/>
              </w:divBdr>
            </w:div>
            <w:div w:id="645551149">
              <w:marLeft w:val="0"/>
              <w:marRight w:val="0"/>
              <w:marTop w:val="0"/>
              <w:marBottom w:val="0"/>
              <w:divBdr>
                <w:top w:val="none" w:sz="0" w:space="0" w:color="auto"/>
                <w:left w:val="none" w:sz="0" w:space="0" w:color="auto"/>
                <w:bottom w:val="none" w:sz="0" w:space="0" w:color="auto"/>
                <w:right w:val="none" w:sz="0" w:space="0" w:color="auto"/>
              </w:divBdr>
            </w:div>
            <w:div w:id="783814897">
              <w:marLeft w:val="0"/>
              <w:marRight w:val="0"/>
              <w:marTop w:val="0"/>
              <w:marBottom w:val="0"/>
              <w:divBdr>
                <w:top w:val="none" w:sz="0" w:space="0" w:color="auto"/>
                <w:left w:val="none" w:sz="0" w:space="0" w:color="auto"/>
                <w:bottom w:val="none" w:sz="0" w:space="0" w:color="auto"/>
                <w:right w:val="none" w:sz="0" w:space="0" w:color="auto"/>
              </w:divBdr>
            </w:div>
            <w:div w:id="1541747295">
              <w:marLeft w:val="0"/>
              <w:marRight w:val="0"/>
              <w:marTop w:val="0"/>
              <w:marBottom w:val="0"/>
              <w:divBdr>
                <w:top w:val="none" w:sz="0" w:space="0" w:color="auto"/>
                <w:left w:val="none" w:sz="0" w:space="0" w:color="auto"/>
                <w:bottom w:val="none" w:sz="0" w:space="0" w:color="auto"/>
                <w:right w:val="none" w:sz="0" w:space="0" w:color="auto"/>
              </w:divBdr>
            </w:div>
          </w:divsChild>
        </w:div>
        <w:div w:id="352925492">
          <w:marLeft w:val="0"/>
          <w:marRight w:val="0"/>
          <w:marTop w:val="0"/>
          <w:marBottom w:val="0"/>
          <w:divBdr>
            <w:top w:val="none" w:sz="0" w:space="0" w:color="auto"/>
            <w:left w:val="none" w:sz="0" w:space="0" w:color="auto"/>
            <w:bottom w:val="none" w:sz="0" w:space="0" w:color="auto"/>
            <w:right w:val="none" w:sz="0" w:space="0" w:color="auto"/>
          </w:divBdr>
          <w:divsChild>
            <w:div w:id="169219077">
              <w:marLeft w:val="0"/>
              <w:marRight w:val="0"/>
              <w:marTop w:val="0"/>
              <w:marBottom w:val="0"/>
              <w:divBdr>
                <w:top w:val="none" w:sz="0" w:space="0" w:color="auto"/>
                <w:left w:val="none" w:sz="0" w:space="0" w:color="auto"/>
                <w:bottom w:val="none" w:sz="0" w:space="0" w:color="auto"/>
                <w:right w:val="none" w:sz="0" w:space="0" w:color="auto"/>
              </w:divBdr>
            </w:div>
            <w:div w:id="198933162">
              <w:marLeft w:val="0"/>
              <w:marRight w:val="0"/>
              <w:marTop w:val="0"/>
              <w:marBottom w:val="0"/>
              <w:divBdr>
                <w:top w:val="none" w:sz="0" w:space="0" w:color="auto"/>
                <w:left w:val="none" w:sz="0" w:space="0" w:color="auto"/>
                <w:bottom w:val="none" w:sz="0" w:space="0" w:color="auto"/>
                <w:right w:val="none" w:sz="0" w:space="0" w:color="auto"/>
              </w:divBdr>
            </w:div>
            <w:div w:id="873732205">
              <w:marLeft w:val="0"/>
              <w:marRight w:val="0"/>
              <w:marTop w:val="0"/>
              <w:marBottom w:val="0"/>
              <w:divBdr>
                <w:top w:val="none" w:sz="0" w:space="0" w:color="auto"/>
                <w:left w:val="none" w:sz="0" w:space="0" w:color="auto"/>
                <w:bottom w:val="none" w:sz="0" w:space="0" w:color="auto"/>
                <w:right w:val="none" w:sz="0" w:space="0" w:color="auto"/>
              </w:divBdr>
            </w:div>
          </w:divsChild>
        </w:div>
        <w:div w:id="392391959">
          <w:marLeft w:val="0"/>
          <w:marRight w:val="0"/>
          <w:marTop w:val="0"/>
          <w:marBottom w:val="0"/>
          <w:divBdr>
            <w:top w:val="none" w:sz="0" w:space="0" w:color="auto"/>
            <w:left w:val="none" w:sz="0" w:space="0" w:color="auto"/>
            <w:bottom w:val="none" w:sz="0" w:space="0" w:color="auto"/>
            <w:right w:val="none" w:sz="0" w:space="0" w:color="auto"/>
          </w:divBdr>
        </w:div>
        <w:div w:id="710569681">
          <w:marLeft w:val="0"/>
          <w:marRight w:val="0"/>
          <w:marTop w:val="0"/>
          <w:marBottom w:val="0"/>
          <w:divBdr>
            <w:top w:val="none" w:sz="0" w:space="0" w:color="auto"/>
            <w:left w:val="none" w:sz="0" w:space="0" w:color="auto"/>
            <w:bottom w:val="none" w:sz="0" w:space="0" w:color="auto"/>
            <w:right w:val="none" w:sz="0" w:space="0" w:color="auto"/>
          </w:divBdr>
          <w:divsChild>
            <w:div w:id="385224933">
              <w:marLeft w:val="0"/>
              <w:marRight w:val="0"/>
              <w:marTop w:val="0"/>
              <w:marBottom w:val="0"/>
              <w:divBdr>
                <w:top w:val="none" w:sz="0" w:space="0" w:color="auto"/>
                <w:left w:val="none" w:sz="0" w:space="0" w:color="auto"/>
                <w:bottom w:val="none" w:sz="0" w:space="0" w:color="auto"/>
                <w:right w:val="none" w:sz="0" w:space="0" w:color="auto"/>
              </w:divBdr>
            </w:div>
            <w:div w:id="2116828038">
              <w:marLeft w:val="0"/>
              <w:marRight w:val="0"/>
              <w:marTop w:val="0"/>
              <w:marBottom w:val="0"/>
              <w:divBdr>
                <w:top w:val="none" w:sz="0" w:space="0" w:color="auto"/>
                <w:left w:val="none" w:sz="0" w:space="0" w:color="auto"/>
                <w:bottom w:val="none" w:sz="0" w:space="0" w:color="auto"/>
                <w:right w:val="none" w:sz="0" w:space="0" w:color="auto"/>
              </w:divBdr>
            </w:div>
          </w:divsChild>
        </w:div>
        <w:div w:id="728646851">
          <w:marLeft w:val="0"/>
          <w:marRight w:val="0"/>
          <w:marTop w:val="0"/>
          <w:marBottom w:val="0"/>
          <w:divBdr>
            <w:top w:val="none" w:sz="0" w:space="0" w:color="auto"/>
            <w:left w:val="none" w:sz="0" w:space="0" w:color="auto"/>
            <w:bottom w:val="none" w:sz="0" w:space="0" w:color="auto"/>
            <w:right w:val="none" w:sz="0" w:space="0" w:color="auto"/>
          </w:divBdr>
        </w:div>
      </w:divsChild>
    </w:div>
    <w:div w:id="1898394310">
      <w:bodyDiv w:val="1"/>
      <w:marLeft w:val="0"/>
      <w:marRight w:val="0"/>
      <w:marTop w:val="0"/>
      <w:marBottom w:val="0"/>
      <w:divBdr>
        <w:top w:val="none" w:sz="0" w:space="0" w:color="auto"/>
        <w:left w:val="none" w:sz="0" w:space="0" w:color="auto"/>
        <w:bottom w:val="none" w:sz="0" w:space="0" w:color="auto"/>
        <w:right w:val="none" w:sz="0" w:space="0" w:color="auto"/>
      </w:divBdr>
    </w:div>
    <w:div w:id="1983457591">
      <w:bodyDiv w:val="1"/>
      <w:marLeft w:val="0"/>
      <w:marRight w:val="0"/>
      <w:marTop w:val="0"/>
      <w:marBottom w:val="0"/>
      <w:divBdr>
        <w:top w:val="none" w:sz="0" w:space="0" w:color="auto"/>
        <w:left w:val="none" w:sz="0" w:space="0" w:color="auto"/>
        <w:bottom w:val="none" w:sz="0" w:space="0" w:color="auto"/>
        <w:right w:val="none" w:sz="0" w:space="0" w:color="auto"/>
      </w:divBdr>
      <w:divsChild>
        <w:div w:id="1086262830">
          <w:marLeft w:val="0"/>
          <w:marRight w:val="0"/>
          <w:marTop w:val="0"/>
          <w:marBottom w:val="0"/>
          <w:divBdr>
            <w:top w:val="none" w:sz="0" w:space="0" w:color="auto"/>
            <w:left w:val="none" w:sz="0" w:space="0" w:color="auto"/>
            <w:bottom w:val="none" w:sz="0" w:space="0" w:color="auto"/>
            <w:right w:val="none" w:sz="0" w:space="0" w:color="auto"/>
          </w:divBdr>
        </w:div>
        <w:div w:id="1091775510">
          <w:marLeft w:val="0"/>
          <w:marRight w:val="0"/>
          <w:marTop w:val="0"/>
          <w:marBottom w:val="0"/>
          <w:divBdr>
            <w:top w:val="none" w:sz="0" w:space="0" w:color="auto"/>
            <w:left w:val="none" w:sz="0" w:space="0" w:color="auto"/>
            <w:bottom w:val="none" w:sz="0" w:space="0" w:color="auto"/>
            <w:right w:val="none" w:sz="0" w:space="0" w:color="auto"/>
          </w:divBdr>
        </w:div>
        <w:div w:id="1933775265">
          <w:marLeft w:val="0"/>
          <w:marRight w:val="0"/>
          <w:marTop w:val="0"/>
          <w:marBottom w:val="0"/>
          <w:divBdr>
            <w:top w:val="none" w:sz="0" w:space="0" w:color="auto"/>
            <w:left w:val="none" w:sz="0" w:space="0" w:color="auto"/>
            <w:bottom w:val="none" w:sz="0" w:space="0" w:color="auto"/>
            <w:right w:val="none" w:sz="0" w:space="0" w:color="auto"/>
          </w:divBdr>
        </w:div>
      </w:divsChild>
    </w:div>
    <w:div w:id="2002728902">
      <w:bodyDiv w:val="1"/>
      <w:marLeft w:val="0"/>
      <w:marRight w:val="0"/>
      <w:marTop w:val="0"/>
      <w:marBottom w:val="0"/>
      <w:divBdr>
        <w:top w:val="none" w:sz="0" w:space="0" w:color="auto"/>
        <w:left w:val="none" w:sz="0" w:space="0" w:color="auto"/>
        <w:bottom w:val="none" w:sz="0" w:space="0" w:color="auto"/>
        <w:right w:val="none" w:sz="0" w:space="0" w:color="auto"/>
      </w:divBdr>
    </w:div>
    <w:div w:id="2096903452">
      <w:bodyDiv w:val="1"/>
      <w:marLeft w:val="0"/>
      <w:marRight w:val="0"/>
      <w:marTop w:val="0"/>
      <w:marBottom w:val="0"/>
      <w:divBdr>
        <w:top w:val="none" w:sz="0" w:space="0" w:color="auto"/>
        <w:left w:val="none" w:sz="0" w:space="0" w:color="auto"/>
        <w:bottom w:val="none" w:sz="0" w:space="0" w:color="auto"/>
        <w:right w:val="none" w:sz="0" w:space="0" w:color="auto"/>
      </w:divBdr>
    </w:div>
    <w:div w:id="210090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5AIRPNAIUNRU-1328258698-28320</_dlc_DocId>
    <HideFromDelve xmlns="71c5aaf6-e6ce-465b-b873-5148d2a4c105">false</HideFromDelve>
    <Information xmlns="3b34c8f0-1ef5-4d1e-bb66-517ce7fe7356" xsi:nil="true"/>
    <_dlc_DocIdUrl xmlns="71c5aaf6-e6ce-465b-b873-5148d2a4c105">
      <Url>https://nokia.sharepoint.com/sites/c5g/5gradio/_layouts/15/DocIdRedir.aspx?ID=5AIRPNAIUNRU-1328258698-28320</Url>
      <Description>5AIRPNAIUNRU-1328258698-28320</Description>
    </_dlc_DocIdUrl>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FE13D10-8742-4ACF-BB2B-43D0CF653120}">
  <ds:schemaRefs>
    <ds:schemaRef ds:uri="http://schemas.microsoft.com/sharepoint/v3/contenttype/forms"/>
  </ds:schemaRefs>
</ds:datastoreItem>
</file>

<file path=customXml/itemProps2.xml><?xml version="1.0" encoding="utf-8"?>
<ds:datastoreItem xmlns:ds="http://schemas.openxmlformats.org/officeDocument/2006/customXml" ds:itemID="{D07CFA8C-A478-46BB-B1A7-87AF44D7DD0B}">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CD40CF8F-1D1C-498F-B3A8-DBF6C590C1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908AA7-3FBA-4240-A8F6-5AEA35168671}">
  <ds:schemaRefs>
    <ds:schemaRef ds:uri="http://schemas.microsoft.com/sharepoint/events"/>
  </ds:schemaRefs>
</ds:datastoreItem>
</file>

<file path=customXml/itemProps5.xml><?xml version="1.0" encoding="utf-8"?>
<ds:datastoreItem xmlns:ds="http://schemas.openxmlformats.org/officeDocument/2006/customXml" ds:itemID="{FB1361B0-3A70-4963-87C1-016E1B5FBC1A}">
  <ds:schemaRefs>
    <ds:schemaRef ds:uri="http://schemas.openxmlformats.org/officeDocument/2006/bibliography"/>
  </ds:schemaRefs>
</ds:datastoreItem>
</file>

<file path=customXml/itemProps6.xml><?xml version="1.0" encoding="utf-8"?>
<ds:datastoreItem xmlns:ds="http://schemas.openxmlformats.org/officeDocument/2006/customXml" ds:itemID="{3A12726A-C811-4442-B911-36F1C0A4E22C}">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1444</Words>
  <Characters>8236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9661</CharactersWithSpaces>
  <SharedDoc>false</SharedDoc>
  <HLinks>
    <vt:vector size="42" baseType="variant">
      <vt:variant>
        <vt:i4>1114166</vt:i4>
      </vt:variant>
      <vt:variant>
        <vt:i4>38</vt:i4>
      </vt:variant>
      <vt:variant>
        <vt:i4>0</vt:i4>
      </vt:variant>
      <vt:variant>
        <vt:i4>5</vt:i4>
      </vt:variant>
      <vt:variant>
        <vt:lpwstr/>
      </vt:variant>
      <vt:variant>
        <vt:lpwstr>_Toc146740556</vt:lpwstr>
      </vt:variant>
      <vt:variant>
        <vt:i4>1114166</vt:i4>
      </vt:variant>
      <vt:variant>
        <vt:i4>35</vt:i4>
      </vt:variant>
      <vt:variant>
        <vt:i4>0</vt:i4>
      </vt:variant>
      <vt:variant>
        <vt:i4>5</vt:i4>
      </vt:variant>
      <vt:variant>
        <vt:lpwstr/>
      </vt:variant>
      <vt:variant>
        <vt:lpwstr>_Toc146740555</vt:lpwstr>
      </vt:variant>
      <vt:variant>
        <vt:i4>1114166</vt:i4>
      </vt:variant>
      <vt:variant>
        <vt:i4>32</vt:i4>
      </vt:variant>
      <vt:variant>
        <vt:i4>0</vt:i4>
      </vt:variant>
      <vt:variant>
        <vt:i4>5</vt:i4>
      </vt:variant>
      <vt:variant>
        <vt:lpwstr/>
      </vt:variant>
      <vt:variant>
        <vt:lpwstr>_Toc146740554</vt:lpwstr>
      </vt:variant>
      <vt:variant>
        <vt:i4>1114166</vt:i4>
      </vt:variant>
      <vt:variant>
        <vt:i4>29</vt:i4>
      </vt:variant>
      <vt:variant>
        <vt:i4>0</vt:i4>
      </vt:variant>
      <vt:variant>
        <vt:i4>5</vt:i4>
      </vt:variant>
      <vt:variant>
        <vt:lpwstr/>
      </vt:variant>
      <vt:variant>
        <vt:lpwstr>_Toc146740553</vt:lpwstr>
      </vt:variant>
      <vt:variant>
        <vt:i4>1114166</vt:i4>
      </vt:variant>
      <vt:variant>
        <vt:i4>26</vt:i4>
      </vt:variant>
      <vt:variant>
        <vt:i4>0</vt:i4>
      </vt:variant>
      <vt:variant>
        <vt:i4>5</vt:i4>
      </vt:variant>
      <vt:variant>
        <vt:lpwstr/>
      </vt:variant>
      <vt:variant>
        <vt:lpwstr>_Toc146740552</vt:lpwstr>
      </vt:variant>
      <vt:variant>
        <vt:i4>1114166</vt:i4>
      </vt:variant>
      <vt:variant>
        <vt:i4>23</vt:i4>
      </vt:variant>
      <vt:variant>
        <vt:i4>0</vt:i4>
      </vt:variant>
      <vt:variant>
        <vt:i4>5</vt:i4>
      </vt:variant>
      <vt:variant>
        <vt:lpwstr/>
      </vt:variant>
      <vt:variant>
        <vt:lpwstr>_Toc146740551</vt:lpwstr>
      </vt:variant>
      <vt:variant>
        <vt:i4>1114166</vt:i4>
      </vt:variant>
      <vt:variant>
        <vt:i4>20</vt:i4>
      </vt:variant>
      <vt:variant>
        <vt:i4>0</vt:i4>
      </vt:variant>
      <vt:variant>
        <vt:i4>5</vt:i4>
      </vt:variant>
      <vt:variant>
        <vt:lpwstr/>
      </vt:variant>
      <vt:variant>
        <vt:lpwstr>_Toc146740550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2023-09-27T06:49:00Z</dcterms:created>
  <dcterms:modified xsi:type="dcterms:W3CDTF">2023-11-03T10:21:00Z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2123200</vt:r8>
  </property>
  <property fmtid="{D5CDD505-2E9C-101B-9397-08002B2CF9AE}" pid="3" name="MSIP_Label_b1aa2129-79ec-42c0-bfac-e5b7a0374572_Enabled">
    <vt:lpwstr>true</vt:lpwstr>
  </property>
  <property fmtid="{D5CDD505-2E9C-101B-9397-08002B2CF9AE}" pid="4" name="MediaServiceImageTags">
    <vt:lpwstr/>
  </property>
  <property fmtid="{D5CDD505-2E9C-101B-9397-08002B2CF9AE}" pid="5" name="xd_ProgID">
    <vt:lpwstr/>
  </property>
  <property fmtid="{D5CDD505-2E9C-101B-9397-08002B2CF9AE}" pid="6" name="MSIP_Label_b1aa2129-79ec-42c0-bfac-e5b7a0374572_ActionId">
    <vt:lpwstr>683be814-a3ef-4ea6-b9b9-ccc5970dcbc1</vt:lpwstr>
  </property>
  <property fmtid="{D5CDD505-2E9C-101B-9397-08002B2CF9AE}" pid="7" name="ContentTypeId">
    <vt:lpwstr>0x01010000E5007003D3004E92B8EDD86D20E8CD</vt:lpwstr>
  </property>
  <property fmtid="{D5CDD505-2E9C-101B-9397-08002B2CF9AE}" pid="8" name="MSIP_Label_b1aa2129-79ec-42c0-bfac-e5b7a0374572_SetDate">
    <vt:lpwstr>2021-09-16T07:35:33Z</vt:lpwstr>
  </property>
  <property fmtid="{D5CDD505-2E9C-101B-9397-08002B2CF9AE}" pid="9" name="TemplateUrl">
    <vt:lpwstr/>
  </property>
  <property fmtid="{D5CDD505-2E9C-101B-9397-08002B2CF9AE}" pid="10" name="_dlc_DocIdItemGuid">
    <vt:lpwstr>58f776c4-4d07-468c-a260-483704a4eaa3</vt:lpwstr>
  </property>
  <property fmtid="{D5CDD505-2E9C-101B-9397-08002B2CF9AE}" pid="11" name="MSIP_Label_b1aa2129-79ec-42c0-bfac-e5b7a0374572_ContentBits">
    <vt:lpwstr>0</vt:lpwstr>
  </property>
  <property fmtid="{D5CDD505-2E9C-101B-9397-08002B2CF9AE}" pid="12" name="MSIP_Label_b1aa2129-79ec-42c0-bfac-e5b7a0374572_Name">
    <vt:lpwstr>b1aa2129-79ec-42c0-bfac-e5b7a0374572</vt:lpwstr>
  </property>
  <property fmtid="{D5CDD505-2E9C-101B-9397-08002B2CF9AE}" pid="13" name="MSIP_Label_b1aa2129-79ec-42c0-bfac-e5b7a0374572_Method">
    <vt:lpwstr>Privileged</vt:lpwstr>
  </property>
  <property fmtid="{D5CDD505-2E9C-101B-9397-08002B2CF9AE}" pid="14" name="MSIP_Label_b1aa2129-79ec-42c0-bfac-e5b7a0374572_SiteId">
    <vt:lpwstr>5d471751-9675-428d-917b-70f44f9630b0</vt:lpwstr>
  </property>
  <property fmtid="{D5CDD505-2E9C-101B-9397-08002B2CF9AE}" pid="15" name="_CopySource">
    <vt:lpwstr>https://nokia.sharepoint.com/sites/c5g/5gradio/RAN4 5G Documents/RAN4 106bis e-meeting/Rel-18/NR_FR2_multiRX_DL/MRx RRM/Contributions/forSubmission_final/R4-2304054_Discussion_MultiRx_RRM_Receive_Time_Difference.docx</vt:lpwstr>
  </property>
  <property fmtid="{D5CDD505-2E9C-101B-9397-08002B2CF9AE}" pid="16" name="_ExtendedDescription">
    <vt:lpwstr/>
  </property>
</Properties>
</file>